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9" w:rsidRPr="00067835" w:rsidRDefault="007457A9" w:rsidP="007457A9">
      <w:pPr>
        <w:jc w:val="both"/>
        <w:rPr>
          <w:rFonts w:asciiTheme="minorHAnsi" w:hAnsiTheme="minorHAnsi"/>
          <w:sz w:val="25"/>
          <w:szCs w:val="25"/>
        </w:rPr>
      </w:pPr>
    </w:p>
    <w:p w:rsidR="00DE14A2" w:rsidRPr="00067835" w:rsidRDefault="00DE14A2" w:rsidP="0081620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67835">
        <w:rPr>
          <w:rFonts w:asciiTheme="minorHAnsi" w:hAnsiTheme="minorHAnsi"/>
          <w:b/>
          <w:color w:val="000000" w:themeColor="text1"/>
          <w:sz w:val="28"/>
          <w:szCs w:val="28"/>
        </w:rPr>
        <w:t>Vyjádření TI k zákonu o zadávání veřejných zakázek, který dnes schválila Sněmovna a k tiskové konferenci TOP</w:t>
      </w:r>
      <w:r w:rsidR="00B06ECA" w:rsidRPr="0006783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067835">
        <w:rPr>
          <w:rFonts w:asciiTheme="minorHAnsi" w:hAnsiTheme="minorHAnsi"/>
          <w:b/>
          <w:color w:val="000000" w:themeColor="text1"/>
          <w:sz w:val="28"/>
          <w:szCs w:val="28"/>
        </w:rPr>
        <w:t>09</w:t>
      </w:r>
    </w:p>
    <w:p w:rsidR="0081620E" w:rsidRPr="00067835" w:rsidRDefault="0081620E" w:rsidP="0081620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DE14A2" w:rsidRPr="00067835" w:rsidRDefault="00DE14A2" w:rsidP="00DE14A2">
      <w:pPr>
        <w:rPr>
          <w:rFonts w:asciiTheme="minorHAnsi" w:hAnsiTheme="minorHAnsi"/>
          <w:b/>
          <w:color w:val="000000" w:themeColor="text1"/>
        </w:rPr>
      </w:pPr>
    </w:p>
    <w:p w:rsidR="00DE14A2" w:rsidRPr="00067835" w:rsidRDefault="0081620E" w:rsidP="00DE14A2">
      <w:pPr>
        <w:rPr>
          <w:rFonts w:asciiTheme="minorHAnsi" w:hAnsiTheme="minorHAnsi"/>
          <w:b/>
          <w:color w:val="000000" w:themeColor="text1"/>
        </w:rPr>
      </w:pPr>
      <w:r w:rsidRPr="00067835">
        <w:rPr>
          <w:rFonts w:asciiTheme="minorHAnsi" w:hAnsiTheme="minorHAnsi"/>
          <w:b/>
          <w:color w:val="000000" w:themeColor="text1"/>
        </w:rPr>
        <w:t xml:space="preserve">Praha 9. března 2016 - </w:t>
      </w:r>
      <w:r w:rsidR="00DE14A2" w:rsidRPr="00067835">
        <w:rPr>
          <w:rFonts w:asciiTheme="minorHAnsi" w:hAnsiTheme="minorHAnsi"/>
          <w:b/>
          <w:color w:val="000000" w:themeColor="text1"/>
        </w:rPr>
        <w:t xml:space="preserve">Transparency International dlouhodobě sleduje proces tvorby zákona o zadávání veřejných zakázek, přičemž monitorujeme jak možný přínos nového zákona, tak rizikové oblasti, které mohou hospodářskou soutěž ovlivnit negativně. 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b/>
          <w:color w:val="000000" w:themeColor="text1"/>
        </w:rPr>
      </w:pPr>
      <w:r w:rsidRPr="00067835">
        <w:rPr>
          <w:rFonts w:asciiTheme="minorHAnsi" w:hAnsiTheme="minorHAnsi"/>
          <w:b/>
          <w:color w:val="000000" w:themeColor="text1"/>
        </w:rPr>
        <w:t xml:space="preserve">TI opakovaně na různých fórech </w:t>
      </w:r>
      <w:proofErr w:type="gramStart"/>
      <w:r w:rsidRPr="00067835">
        <w:rPr>
          <w:rFonts w:asciiTheme="minorHAnsi" w:hAnsiTheme="minorHAnsi"/>
          <w:b/>
          <w:color w:val="000000" w:themeColor="text1"/>
        </w:rPr>
        <w:t>upozorňovala</w:t>
      </w:r>
      <w:proofErr w:type="gramEnd"/>
      <w:r w:rsidRPr="00067835">
        <w:rPr>
          <w:rFonts w:asciiTheme="minorHAnsi" w:hAnsiTheme="minorHAnsi"/>
          <w:b/>
          <w:color w:val="000000" w:themeColor="text1"/>
        </w:rPr>
        <w:t xml:space="preserve"> zejména na následující otázky:</w:t>
      </w:r>
    </w:p>
    <w:p w:rsidR="00067835" w:rsidRPr="00067835" w:rsidRDefault="00067835" w:rsidP="0006783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inorHAnsi" w:hAnsiTheme="minorHAnsi"/>
          <w:color w:val="333333"/>
        </w:rPr>
      </w:pPr>
      <w:r w:rsidRPr="00067835">
        <w:rPr>
          <w:rFonts w:asciiTheme="minorHAnsi" w:hAnsiTheme="minorHAnsi"/>
          <w:color w:val="333333"/>
        </w:rPr>
        <w:t>Kritizujeme zavedení poplatků za podněty podané k Úřadu pro ochranu hospodářské soutěže. O tomto velmi problematickém pozměňovacím návrhu jsme informovali Ústavě-právní výbor a Výbor pro regionální správu a rozvoj Poslanecké sněmovny.</w:t>
      </w:r>
    </w:p>
    <w:p w:rsidR="00067835" w:rsidRPr="00067835" w:rsidRDefault="00067835" w:rsidP="0006783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inorHAnsi" w:hAnsiTheme="minorHAnsi"/>
          <w:color w:val="333333"/>
        </w:rPr>
      </w:pPr>
      <w:r w:rsidRPr="00067835">
        <w:rPr>
          <w:rFonts w:asciiTheme="minorHAnsi" w:hAnsiTheme="minorHAnsi"/>
          <w:color w:val="333333"/>
        </w:rPr>
        <w:t>Kriticky jsme se vyjadřovali k návrhu na omezení možnosti využívat pro zadání zakázky některé komoditní burzy, které nakonec v novém zákoně, i díky iniciativě TI, přijato nebylo.</w:t>
      </w:r>
    </w:p>
    <w:p w:rsidR="00067835" w:rsidRPr="00067835" w:rsidRDefault="00067835" w:rsidP="0006783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inorHAnsi" w:hAnsiTheme="minorHAnsi"/>
          <w:color w:val="333333"/>
        </w:rPr>
      </w:pPr>
      <w:r w:rsidRPr="00067835">
        <w:rPr>
          <w:rFonts w:asciiTheme="minorHAnsi" w:hAnsiTheme="minorHAnsi"/>
          <w:color w:val="333333"/>
        </w:rPr>
        <w:t>Vznášeli jsme připomínky k navýšení limitu pro vícepráce a omezení soutěže na některý typ právních služeb.</w:t>
      </w:r>
    </w:p>
    <w:p w:rsidR="00067835" w:rsidRPr="00067835" w:rsidRDefault="00067835" w:rsidP="0006783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inorHAnsi" w:hAnsiTheme="minorHAnsi"/>
          <w:color w:val="333333"/>
        </w:rPr>
      </w:pPr>
      <w:r w:rsidRPr="00067835">
        <w:rPr>
          <w:rFonts w:asciiTheme="minorHAnsi" w:hAnsiTheme="minorHAnsi"/>
          <w:color w:val="333333"/>
        </w:rPr>
        <w:t>Požadovali jsme možnost přezkoumávání zakázek malého rozsahu ÚOHS z hlediska 3E.</w:t>
      </w:r>
    </w:p>
    <w:p w:rsidR="00067835" w:rsidRPr="00067835" w:rsidRDefault="00067835" w:rsidP="0006783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inorHAnsi" w:hAnsiTheme="minorHAnsi"/>
          <w:color w:val="333333"/>
        </w:rPr>
      </w:pPr>
      <w:r w:rsidRPr="00067835">
        <w:rPr>
          <w:rFonts w:asciiTheme="minorHAnsi" w:hAnsiTheme="minorHAnsi"/>
          <w:color w:val="333333"/>
        </w:rPr>
        <w:t>Požadovali jsme rozkrývání konečných vlastníků uchazeče.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>Zároveň jsme kritizovali některé zakázky realizované prostřednictvím JŘBU, např. na MO či MD.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>„Takzvaná transparentní novela zákona o zadávání veřejných zakázek přinesla řadu pozitivních změn, ale vyvolala i velmi silné kritické reakce. Nový zákon dává zadavatelů větší volnost, ale zároveň klade větší nároky na řízení a kontrolu. Jestli se nová filozofie osvědčí, ukáže až čas,“ dodává Radim Bureš, programový ředitel TI.</w:t>
      </w:r>
    </w:p>
    <w:p w:rsidR="00B06ECA" w:rsidRPr="00067835" w:rsidRDefault="00B06ECA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 xml:space="preserve">Považujeme za potřebné se vyjádřit k některým tvrzením, která na dnešní tiskové konferenci prezentovali zástupci TOP 09.  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>V prvé řadě byla uvedena nepravdivá informace, že zákon přináší zásadní změnu při stanovování limitu veřejných zakázek malého rozsahu. Konkrétně bylo řečeno, že se limity navyšují z 1 mil. Kč pro služby a dodávky na 2 mil. Kč a z 1 mil. Kč pro stavební práce na 6 mil. Kč. Zde je třeba uvést, že v současném zákoně č. 137/2006 Sb., o veřejných zakázkách, jsou limity stanoveny v § 12 a veřejnými zakázkami malého rozsahu jsou takové zakázky na služby nebo dodávky, které nedosahují částky 2 mil. Kč a na stavební práce takové zakázky, které nedosahují hodnoty 6 mil. Kč. Jedná se tedy o nepravdivé tvrzení, neboť nový zákon o zadávání veřejných zakázek zachovává stávající hodnotu limitů pro veřejné zakázky malého rozsahu.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 xml:space="preserve">V souvislosti s limity pro veřejné zakázky byla zmíněna i tzv. transparentní novela, která skutečně snižovala limity pro veřejné zakázky, a to tak, že u služeb a dodávek došlo na snížení na 1 mil. Kč a u stavebních prací na hodnotu 3 mil. Kč. Avšak není pravda, že by v době účinnosti stávajícího zákona byla hodnota pro veřejné zakázky na stavební práce stanovena na 1 mil. Kč, jak bylo dnes prezentováno. Taktéž je třeba uvést, že ke zvýšení limitů došlo již nabytím účinnosti zákonného opatření č. 341/2013 Sb., nikoli tedy návrhem nového zákona o zadávání veřejných zakázek. 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>Na tiskové konferenci bylo prezentováno, že za dobu činnosti této vlády byly v jednacím řízení bez uveřejnění realizovány zakázky za 55 miliard Kč. Je třeba upřesnit, že dle dostupné analýzy</w:t>
      </w:r>
      <w:r w:rsidRPr="00067835">
        <w:rPr>
          <w:rStyle w:val="Znakapoznpodarou"/>
          <w:rFonts w:asciiTheme="minorHAnsi" w:hAnsiTheme="minorHAnsi"/>
          <w:color w:val="000000" w:themeColor="text1"/>
        </w:rPr>
        <w:footnoteReference w:id="1"/>
      </w:r>
      <w:r w:rsidRPr="00067835">
        <w:rPr>
          <w:rFonts w:asciiTheme="minorHAnsi" w:hAnsiTheme="minorHAnsi"/>
          <w:color w:val="000000" w:themeColor="text1"/>
        </w:rPr>
        <w:t xml:space="preserve"> je tato hodnota spojena s veřejnými zakázkami, ve kterých byla podána jediná nabídka, a to za rok 2015. Jedná se tedy jak o zakázky zadané v jednacím řízení bez uveřejnění, tak o zakázky, které byly zadávány prostře</w:t>
      </w:r>
      <w:bookmarkStart w:id="0" w:name="_GoBack"/>
      <w:bookmarkEnd w:id="0"/>
      <w:r w:rsidRPr="00067835">
        <w:rPr>
          <w:rFonts w:asciiTheme="minorHAnsi" w:hAnsiTheme="minorHAnsi"/>
          <w:color w:val="000000" w:themeColor="text1"/>
        </w:rPr>
        <w:t xml:space="preserve">dnictvím jiného druhu řízení, přesto v nich zadavatel obdržel jedinou nabídku. Informace sdělená na tiskové konferenci TOP 09 je opět zavádějící a nepravdivá, neboť se ve skutečnosti nejedná pouze o zakázky zadávané v jednacím řízení bez uveřejnění. 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  <w:r w:rsidRPr="00067835">
        <w:rPr>
          <w:rFonts w:asciiTheme="minorHAnsi" w:hAnsiTheme="minorHAnsi"/>
          <w:color w:val="000000" w:themeColor="text1"/>
        </w:rPr>
        <w:t xml:space="preserve">Nepřesná je i informace týkající se možnosti realizovat vícepráce v hodnotě až 50 % hodnoty zakázky. Limit 50 % zakázky je stanoven pro dílčí vícepráce, nicméně v souvislosti s celou veřejnou zakázkou nesmí být překročena po započtení </w:t>
      </w:r>
      <w:proofErr w:type="spellStart"/>
      <w:r w:rsidRPr="00067835">
        <w:rPr>
          <w:rFonts w:asciiTheme="minorHAnsi" w:hAnsiTheme="minorHAnsi"/>
          <w:color w:val="000000" w:themeColor="text1"/>
        </w:rPr>
        <w:t>méněprací</w:t>
      </w:r>
      <w:proofErr w:type="spellEnd"/>
      <w:r w:rsidRPr="00067835">
        <w:rPr>
          <w:rFonts w:asciiTheme="minorHAnsi" w:hAnsiTheme="minorHAnsi"/>
          <w:color w:val="000000" w:themeColor="text1"/>
        </w:rPr>
        <w:t xml:space="preserve"> hodnota 30 % zakázky. A je třeba zdůraznit, že pro naplnění dikce zákona nepostačuje pouze vyhovění hodnotovým limitům, zároveň musí být splněny podmínky vzájemného vztahu a odůvodněnosti realizovaných víceprací.</w:t>
      </w: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DE14A2" w:rsidRPr="00067835" w:rsidRDefault="00DE14A2" w:rsidP="00DE14A2">
      <w:pPr>
        <w:rPr>
          <w:rFonts w:asciiTheme="minorHAnsi" w:hAnsiTheme="minorHAnsi"/>
          <w:color w:val="000000" w:themeColor="text1"/>
        </w:rPr>
      </w:pPr>
    </w:p>
    <w:p w:rsidR="007457A9" w:rsidRPr="00067835" w:rsidRDefault="007457A9" w:rsidP="0066337A">
      <w:pPr>
        <w:rPr>
          <w:rFonts w:asciiTheme="minorHAnsi" w:hAnsiTheme="minorHAnsi"/>
          <w:sz w:val="25"/>
          <w:szCs w:val="25"/>
        </w:rPr>
      </w:pPr>
    </w:p>
    <w:sectPr w:rsidR="007457A9" w:rsidRPr="0006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6" w:rsidRDefault="00A53006" w:rsidP="00A53006">
      <w:r>
        <w:separator/>
      </w:r>
    </w:p>
  </w:endnote>
  <w:endnote w:type="continuationSeparator" w:id="0">
    <w:p w:rsidR="00A53006" w:rsidRDefault="00A53006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067835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067835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6" w:rsidRDefault="00A53006" w:rsidP="00A53006">
      <w:r>
        <w:separator/>
      </w:r>
    </w:p>
  </w:footnote>
  <w:footnote w:type="continuationSeparator" w:id="0">
    <w:p w:rsidR="00A53006" w:rsidRDefault="00A53006" w:rsidP="00A53006">
      <w:r>
        <w:continuationSeparator/>
      </w:r>
    </w:p>
  </w:footnote>
  <w:footnote w:id="1">
    <w:p w:rsidR="00DE14A2" w:rsidRDefault="00DE14A2" w:rsidP="00DE14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06E6">
        <w:t>http://www.econlab.cz/wp-content/uploads/2016/01/2016-01-25-single-bids.pdf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730FC9" wp14:editId="32315FA5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FF" w:rsidRDefault="006538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73FD"/>
    <w:multiLevelType w:val="multilevel"/>
    <w:tmpl w:val="124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E3B5D"/>
    <w:multiLevelType w:val="hybridMultilevel"/>
    <w:tmpl w:val="5A527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67835"/>
    <w:rsid w:val="000911EA"/>
    <w:rsid w:val="001B71D2"/>
    <w:rsid w:val="002E4134"/>
    <w:rsid w:val="00445F84"/>
    <w:rsid w:val="00585C70"/>
    <w:rsid w:val="00590AF9"/>
    <w:rsid w:val="006538FF"/>
    <w:rsid w:val="0066337A"/>
    <w:rsid w:val="007457A9"/>
    <w:rsid w:val="00786744"/>
    <w:rsid w:val="007C6326"/>
    <w:rsid w:val="0081620E"/>
    <w:rsid w:val="00817E07"/>
    <w:rsid w:val="00960D2E"/>
    <w:rsid w:val="00966C16"/>
    <w:rsid w:val="009F4322"/>
    <w:rsid w:val="00A128BA"/>
    <w:rsid w:val="00A53006"/>
    <w:rsid w:val="00B06ECA"/>
    <w:rsid w:val="00C23101"/>
    <w:rsid w:val="00C8793C"/>
    <w:rsid w:val="00CA72FB"/>
    <w:rsid w:val="00CE17EF"/>
    <w:rsid w:val="00DE14A2"/>
    <w:rsid w:val="00E3338E"/>
    <w:rsid w:val="00F5080A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14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1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18</cp:revision>
  <cp:lastPrinted>2015-01-21T11:47:00Z</cp:lastPrinted>
  <dcterms:created xsi:type="dcterms:W3CDTF">2015-01-21T14:46:00Z</dcterms:created>
  <dcterms:modified xsi:type="dcterms:W3CDTF">2016-03-09T16:17:00Z</dcterms:modified>
</cp:coreProperties>
</file>