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A9" w:rsidRDefault="00F82FA9" w:rsidP="00F82FA9">
      <w:pPr>
        <w:rPr>
          <w:b/>
        </w:rPr>
      </w:pPr>
      <w:r>
        <w:rPr>
          <w:b/>
        </w:rPr>
        <w:t xml:space="preserve">TISKOVÁ ZPRÁVA TI </w:t>
      </w:r>
    </w:p>
    <w:p w:rsidR="00F82FA9" w:rsidRPr="003D782B" w:rsidRDefault="000512C5" w:rsidP="002F54D8">
      <w:pPr>
        <w:pStyle w:val="Vrazncitt"/>
        <w:pBdr>
          <w:bottom w:val="single" w:sz="4" w:space="3" w:color="4F81BD" w:themeColor="accent1"/>
        </w:pBdr>
        <w:ind w:left="0" w:right="26"/>
        <w:rPr>
          <w:color w:val="0065B3"/>
          <w:sz w:val="28"/>
          <w:szCs w:val="28"/>
        </w:rPr>
      </w:pPr>
      <w:r w:rsidRPr="003D782B">
        <w:rPr>
          <w:color w:val="0065B3"/>
          <w:sz w:val="28"/>
          <w:szCs w:val="28"/>
        </w:rPr>
        <w:t xml:space="preserve">Transparency International </w:t>
      </w:r>
      <w:r w:rsidR="00237F79" w:rsidRPr="003D782B">
        <w:rPr>
          <w:color w:val="0065B3"/>
          <w:sz w:val="28"/>
          <w:szCs w:val="28"/>
        </w:rPr>
        <w:t>vydává index míry vynucování práva v přeshraničním úplatkářství: Publikace Exporting Corruption</w:t>
      </w:r>
    </w:p>
    <w:p w:rsidR="00237F79" w:rsidRDefault="00EB3F45" w:rsidP="00237F79">
      <w:pPr>
        <w:jc w:val="both"/>
        <w:rPr>
          <w:sz w:val="24"/>
        </w:rPr>
      </w:pPr>
      <w:r>
        <w:rPr>
          <w:b/>
        </w:rPr>
        <w:t>Praha, 20. srpna 2015</w:t>
      </w:r>
      <w:r w:rsidR="00EA0724">
        <w:rPr>
          <w:b/>
        </w:rPr>
        <w:t xml:space="preserve"> -</w:t>
      </w:r>
      <w:r>
        <w:rPr>
          <w:b/>
        </w:rPr>
        <w:t xml:space="preserve"> </w:t>
      </w:r>
      <w:r w:rsidR="00237F79" w:rsidRPr="00237F79">
        <w:rPr>
          <w:i/>
          <w:iCs/>
        </w:rPr>
        <w:t xml:space="preserve">Berlínský sekretariát Transparency International vydal v pořadí jedenáctou výroční zprávu o </w:t>
      </w:r>
      <w:r w:rsidR="002F54D8">
        <w:rPr>
          <w:i/>
          <w:iCs/>
        </w:rPr>
        <w:t xml:space="preserve">vyšetřování přeshraniční </w:t>
      </w:r>
      <w:r w:rsidR="00237F79" w:rsidRPr="00237F79">
        <w:rPr>
          <w:i/>
          <w:iCs/>
        </w:rPr>
        <w:t>korupce</w:t>
      </w:r>
      <w:r w:rsidR="002F54D8">
        <w:rPr>
          <w:i/>
          <w:iCs/>
        </w:rPr>
        <w:t xml:space="preserve"> v</w:t>
      </w:r>
      <w:r w:rsidR="00237F79" w:rsidRPr="00237F79">
        <w:rPr>
          <w:i/>
          <w:iCs/>
        </w:rPr>
        <w:t xml:space="preserve"> zemích, které podepsali tzv. </w:t>
      </w:r>
      <w:r w:rsidR="00237F79" w:rsidRPr="00237F79">
        <w:rPr>
          <w:b/>
          <w:i/>
          <w:iCs/>
        </w:rPr>
        <w:t>konvenci pro boj s přeshraničním úplatkářstvím Organizace pro hospodářskou spolupráci a rozvoj</w:t>
      </w:r>
      <w:r w:rsidR="00237F79" w:rsidRPr="002F54D8">
        <w:rPr>
          <w:b/>
          <w:i/>
          <w:iCs/>
        </w:rPr>
        <w:t xml:space="preserve"> (OECD).</w:t>
      </w:r>
      <w:r w:rsidR="00237F79" w:rsidRPr="00237F79">
        <w:rPr>
          <w:i/>
          <w:iCs/>
        </w:rPr>
        <w:t xml:space="preserve"> Iniciativu podepsalo celkem 41 zemí</w:t>
      </w:r>
      <w:r w:rsidR="002F54D8">
        <w:rPr>
          <w:i/>
          <w:iCs/>
        </w:rPr>
        <w:t>,</w:t>
      </w:r>
      <w:r w:rsidR="00237F79" w:rsidRPr="00237F79">
        <w:rPr>
          <w:i/>
          <w:iCs/>
        </w:rPr>
        <w:t xml:space="preserve"> včetně České republiky</w:t>
      </w:r>
      <w:r w:rsidR="002F54D8">
        <w:rPr>
          <w:i/>
          <w:iCs/>
        </w:rPr>
        <w:t xml:space="preserve">, které realizují </w:t>
      </w:r>
      <w:r w:rsidR="00237F79" w:rsidRPr="00237F79">
        <w:rPr>
          <w:i/>
          <w:iCs/>
        </w:rPr>
        <w:t>přibližně dvě třetiny světového vývozu.</w:t>
      </w:r>
      <w:r w:rsidR="00237F79">
        <w:rPr>
          <w:sz w:val="24"/>
        </w:rPr>
        <w:t xml:space="preserve"> </w:t>
      </w:r>
    </w:p>
    <w:p w:rsidR="00237F79" w:rsidRPr="00237F79" w:rsidRDefault="00237F79" w:rsidP="00237F79">
      <w:pPr>
        <w:jc w:val="both"/>
      </w:pPr>
      <w:r w:rsidRPr="00237F79">
        <w:t xml:space="preserve">TI </w:t>
      </w:r>
      <w:r w:rsidR="002F54D8">
        <w:t>zpracovala</w:t>
      </w:r>
      <w:r w:rsidRPr="00237F79">
        <w:t xml:space="preserve"> </w:t>
      </w:r>
      <w:r w:rsidR="00355D85">
        <w:t xml:space="preserve">pravidelný </w:t>
      </w:r>
      <w:r w:rsidRPr="00237F79">
        <w:t xml:space="preserve">index monitorující míru vynucování práva a postihování přeshraničního úplatkářství v období od roku 2011 do 2014. </w:t>
      </w:r>
      <w:r w:rsidR="003D782B">
        <w:t>Dvacet</w:t>
      </w:r>
      <w:r w:rsidR="003D782B" w:rsidRPr="003D782B">
        <w:t xml:space="preserve"> zemí patřící mezi největší světové exportéry porušuje mezinárodní závazky</w:t>
      </w:r>
      <w:r w:rsidR="003D782B">
        <w:t xml:space="preserve">. </w:t>
      </w:r>
      <w:r w:rsidRPr="00237F79">
        <w:t>Téměř polovina signatářských zemí nebyla schopna postihnout přeshraniční úplatkářství od té doby, co se ke konvenci při</w:t>
      </w:r>
      <w:r w:rsidR="003D782B">
        <w:t>pojili</w:t>
      </w:r>
      <w:r w:rsidRPr="00237F79">
        <w:t xml:space="preserve">. </w:t>
      </w:r>
      <w:r w:rsidRPr="00237F79">
        <w:rPr>
          <w:b/>
        </w:rPr>
        <w:t>Česká republika skončila ve skupině nejhůře hodnocených zemí.</w:t>
      </w:r>
      <w:r w:rsidR="004B2425">
        <w:rPr>
          <w:b/>
        </w:rPr>
        <w:t xml:space="preserve"> </w:t>
      </w:r>
      <w:r w:rsidR="00EA0724" w:rsidRPr="00EA0724">
        <w:t>Na analýze</w:t>
      </w:r>
      <w:r w:rsidR="00EA0724">
        <w:t xml:space="preserve"> ČR</w:t>
      </w:r>
      <w:r w:rsidR="00EA0724" w:rsidRPr="00EA0724">
        <w:t xml:space="preserve"> </w:t>
      </w:r>
      <w:r w:rsidR="00EA0724">
        <w:t>se podílela společnost</w:t>
      </w:r>
      <w:r w:rsidR="00EA0724" w:rsidRPr="00EA0724">
        <w:t xml:space="preserve"> </w:t>
      </w:r>
      <w:r w:rsidR="00EA0724" w:rsidRPr="00EA0724">
        <w:rPr>
          <w:iCs/>
        </w:rPr>
        <w:t>White &amp; Case.</w:t>
      </w:r>
      <w:r w:rsidR="00EA0724">
        <w:rPr>
          <w:b/>
        </w:rPr>
        <w:t xml:space="preserve"> </w:t>
      </w:r>
      <w:r w:rsidR="004B2425">
        <w:rPr>
          <w:b/>
        </w:rPr>
        <w:t>„</w:t>
      </w:r>
      <w:r w:rsidR="004B2425" w:rsidRPr="004B2425">
        <w:t>Podpisem protikorupční konvence OECD se vlády zav</w:t>
      </w:r>
      <w:r w:rsidR="004B2425">
        <w:t xml:space="preserve">ázaly k vyšetřování a stíhání </w:t>
      </w:r>
      <w:r w:rsidR="004B2425" w:rsidRPr="004B2425">
        <w:t>přeshraniční korupce. Téměř polovina zemí</w:t>
      </w:r>
      <w:r w:rsidR="004B2425">
        <w:t xml:space="preserve"> však</w:t>
      </w:r>
      <w:r w:rsidR="004B2425" w:rsidRPr="004B2425">
        <w:t xml:space="preserve"> tuto dohodu neplní,</w:t>
      </w:r>
      <w:r w:rsidR="004B2425">
        <w:t>“</w:t>
      </w:r>
      <w:r w:rsidR="004B2425" w:rsidRPr="004B2425">
        <w:t xml:space="preserve"> říká José Ugaz, předseda mezinárodního boardu Transparency International</w:t>
      </w:r>
      <w:r w:rsidR="004B2425">
        <w:t>.</w:t>
      </w:r>
    </w:p>
    <w:p w:rsidR="00237F79" w:rsidRPr="00237F79" w:rsidRDefault="00237F79" w:rsidP="00237F79">
      <w:pPr>
        <w:jc w:val="both"/>
      </w:pPr>
      <w:r w:rsidRPr="00237F79">
        <w:t xml:space="preserve">V monitoringu bylo zahrnuto celkem 39 zemí (Litva a Island, ačkoliv také signatářské země, nebyly zahrnuty z důvodu velmi malého podílu na celosvětovém vývozu), které byly rozděleny do čtyř kategorií dle míry vynucování práva a konvencí a to; aktivní, spíše aktivní, spíše neaktivní a téměř žádné nebo žádné. </w:t>
      </w:r>
      <w:r w:rsidRPr="002F54D8">
        <w:rPr>
          <w:b/>
        </w:rPr>
        <w:t>Nejlépe dopadlo Německo, Spojené státy Americké, Velká Británie a Švýcarsko, které mají aktivní vynucování</w:t>
      </w:r>
      <w:r w:rsidRPr="00237F79">
        <w:t xml:space="preserve">, a jejichž celkový podíl na světovém vývozu je 22,8 %. </w:t>
      </w:r>
      <w:r w:rsidRPr="002F54D8">
        <w:rPr>
          <w:b/>
        </w:rPr>
        <w:t xml:space="preserve">Naopak téměř nulové vynucování práva a konvencí je kromě České republiky v 19 dalších zemích, např. na Slovensku, v Rusku, Kolumbii, Polsku, Dánsku nebo Belgii. </w:t>
      </w:r>
      <w:r w:rsidRPr="002F54D8">
        <w:t>P</w:t>
      </w:r>
      <w:r w:rsidRPr="00237F79">
        <w:t>odíl této skupiny na světovém vývozu je 20,5 %.</w:t>
      </w:r>
    </w:p>
    <w:p w:rsidR="00237F79" w:rsidRPr="00237F79" w:rsidRDefault="00237F79" w:rsidP="00237F79">
      <w:pPr>
        <w:jc w:val="both"/>
      </w:pPr>
      <w:r w:rsidRPr="00237F79">
        <w:t xml:space="preserve">Od poslední zprávy nebylo v České republice zjištěno téměř žádné legislativní zlepšení. </w:t>
      </w:r>
      <w:r w:rsidR="002F54D8">
        <w:t xml:space="preserve">Opatření současné </w:t>
      </w:r>
      <w:r w:rsidRPr="00237F79">
        <w:t>vlád</w:t>
      </w:r>
      <w:r w:rsidR="002F54D8">
        <w:t>y se d</w:t>
      </w:r>
      <w:r w:rsidRPr="00237F79">
        <w:t>oposud přeshraniční</w:t>
      </w:r>
      <w:r w:rsidR="002F54D8">
        <w:t xml:space="preserve"> korupci </w:t>
      </w:r>
      <w:r w:rsidRPr="00237F79">
        <w:t xml:space="preserve">nevěnují a tento problém není </w:t>
      </w:r>
      <w:r w:rsidR="002F54D8">
        <w:t xml:space="preserve">zahrnut </w:t>
      </w:r>
      <w:r w:rsidRPr="00237F79">
        <w:t xml:space="preserve">ani v protikorupčním akčním plánu. Plán se naopak bude zabývat např. tématem ochrany tzv. whistleblowerů, tedy oznamovatelů korupce. </w:t>
      </w:r>
    </w:p>
    <w:p w:rsidR="00237F79" w:rsidRPr="00237F79" w:rsidRDefault="00237F79" w:rsidP="00237F79">
      <w:pPr>
        <w:rPr>
          <w:b/>
          <w:u w:val="single"/>
        </w:rPr>
      </w:pPr>
      <w:r w:rsidRPr="00237F79">
        <w:rPr>
          <w:b/>
          <w:u w:val="single"/>
        </w:rPr>
        <w:t>Doporučení pro Českou republiku:</w:t>
      </w:r>
    </w:p>
    <w:p w:rsidR="00237F79" w:rsidRPr="00237F79" w:rsidRDefault="00237F79" w:rsidP="00237F79">
      <w:pPr>
        <w:pStyle w:val="Odstavecseseznamem"/>
        <w:numPr>
          <w:ilvl w:val="0"/>
          <w:numId w:val="4"/>
        </w:numPr>
      </w:pPr>
      <w:r w:rsidRPr="00237F79">
        <w:t>Zlepšení praktické spolupráce a koordinace se zahraničními orgány, aby se zabránilo promlčování korupce</w:t>
      </w:r>
      <w:r>
        <w:t>.</w:t>
      </w:r>
    </w:p>
    <w:p w:rsidR="00237F79" w:rsidRPr="00237F79" w:rsidRDefault="00237F79" w:rsidP="00237F79">
      <w:pPr>
        <w:pStyle w:val="Odstavecseseznamem"/>
        <w:numPr>
          <w:ilvl w:val="0"/>
          <w:numId w:val="4"/>
        </w:numPr>
      </w:pPr>
      <w:r w:rsidRPr="00237F79">
        <w:t>Zvýšení nezávislosti státních zastupitelství</w:t>
      </w:r>
      <w:r>
        <w:t>.</w:t>
      </w:r>
    </w:p>
    <w:p w:rsidR="00237F79" w:rsidRPr="00237F79" w:rsidRDefault="00237F79" w:rsidP="00237F79">
      <w:pPr>
        <w:pStyle w:val="Odstavecseseznamem"/>
        <w:numPr>
          <w:ilvl w:val="0"/>
          <w:numId w:val="4"/>
        </w:numPr>
      </w:pPr>
      <w:r w:rsidRPr="00237F79">
        <w:t>Zlepšit povědomí o přeshraničních úplatkářských rizicích a to zejména pak mezi auditory, účetními a v soukromém sektoru</w:t>
      </w:r>
      <w:r>
        <w:t>.</w:t>
      </w:r>
    </w:p>
    <w:p w:rsidR="00237F79" w:rsidRPr="00237F79" w:rsidRDefault="00237F79" w:rsidP="00237F79">
      <w:pPr>
        <w:pStyle w:val="Odstavecseseznamem"/>
        <w:numPr>
          <w:ilvl w:val="0"/>
          <w:numId w:val="4"/>
        </w:numPr>
      </w:pPr>
      <w:r w:rsidRPr="00237F79">
        <w:t>Schválit zákon na ochranu w</w:t>
      </w:r>
      <w:r w:rsidR="00355D85">
        <w:t xml:space="preserve">histleblowerů. Zřízení nezávislých </w:t>
      </w:r>
      <w:r w:rsidRPr="00237F79">
        <w:t>informačních center, které by poskytly anonymní nahlašovací služb</w:t>
      </w:r>
      <w:r w:rsidR="00355D85">
        <w:t>y, právní poradenství při prověřování a vyšetření kauz</w:t>
      </w:r>
      <w:r w:rsidRPr="00237F79">
        <w:t>.</w:t>
      </w:r>
    </w:p>
    <w:p w:rsidR="00E85005" w:rsidRDefault="00237F79" w:rsidP="00237F79">
      <w:pPr>
        <w:jc w:val="both"/>
      </w:pPr>
      <w:r>
        <w:lastRenderedPageBreak/>
        <w:t>„</w:t>
      </w:r>
      <w:r w:rsidR="002F54D8">
        <w:t xml:space="preserve">Vynucování </w:t>
      </w:r>
      <w:r>
        <w:t xml:space="preserve">Konvence by mělo </w:t>
      </w:r>
      <w:r w:rsidR="002F54D8">
        <w:t xml:space="preserve">velmi </w:t>
      </w:r>
      <w:r>
        <w:t xml:space="preserve">konkrétní dopad na mnohé kauzy. Kromě Mostecké uhelné nebo Siemensu, to lze ukázat na příkladu gripenů. Britsko-švédské konsorcium </w:t>
      </w:r>
      <w:r w:rsidR="008D1626">
        <w:t>BAE Systems s</w:t>
      </w:r>
      <w:bookmarkStart w:id="0" w:name="_GoBack"/>
      <w:bookmarkEnd w:id="0"/>
      <w:r w:rsidR="002F54D8">
        <w:t xml:space="preserve"> vysokou pravděpodobností </w:t>
      </w:r>
      <w:r>
        <w:t xml:space="preserve">uplácelo </w:t>
      </w:r>
      <w:r w:rsidR="002F54D8">
        <w:t xml:space="preserve">i </w:t>
      </w:r>
      <w:r>
        <w:t>v České republice a ovlivňovalo zakázku na pronájem gripenů u nás</w:t>
      </w:r>
      <w:r w:rsidR="002F54D8">
        <w:t>. Z</w:t>
      </w:r>
      <w:r>
        <w:t xml:space="preserve">a to zaplatili miliardovou pokutu, ta však šla celá do britské státní kasy, protože Velká Británie přeshraniční </w:t>
      </w:r>
      <w:r w:rsidR="002F54D8">
        <w:t xml:space="preserve">korupci </w:t>
      </w:r>
      <w:r>
        <w:t>ošetřen</w:t>
      </w:r>
      <w:r w:rsidR="002F54D8">
        <w:t>u</w:t>
      </w:r>
      <w:r>
        <w:t xml:space="preserve"> má. </w:t>
      </w:r>
      <w:r w:rsidR="002F54D8">
        <w:t xml:space="preserve">Pokud budeme schopni tento typ korupce řešit, bude pragmatická </w:t>
      </w:r>
      <w:r>
        <w:t xml:space="preserve">možnost část těchto peněz </w:t>
      </w:r>
      <w:r w:rsidR="002F54D8">
        <w:t>dostat také do české státní pokladny</w:t>
      </w:r>
      <w:r w:rsidR="00E774A2">
        <w:t>,</w:t>
      </w:r>
      <w:r>
        <w:t>“</w:t>
      </w:r>
      <w:r w:rsidR="002F54D8">
        <w:t xml:space="preserve"> </w:t>
      </w:r>
      <w:r>
        <w:t>ilustruje dopady Konvence ředitel TI David Ondráčka.</w:t>
      </w:r>
    </w:p>
    <w:p w:rsidR="000F789D" w:rsidRDefault="000F789D" w:rsidP="00237F79">
      <w:pPr>
        <w:jc w:val="both"/>
        <w:rPr>
          <w:b/>
        </w:rPr>
      </w:pPr>
    </w:p>
    <w:p w:rsidR="002F54D8" w:rsidRPr="002F54D8" w:rsidRDefault="002F54D8" w:rsidP="00237F79">
      <w:pPr>
        <w:jc w:val="both"/>
        <w:rPr>
          <w:b/>
        </w:rPr>
      </w:pPr>
      <w:r w:rsidRPr="002F54D8">
        <w:rPr>
          <w:b/>
        </w:rPr>
        <w:t xml:space="preserve">Příloha: </w:t>
      </w:r>
    </w:p>
    <w:p w:rsidR="002F54D8" w:rsidRPr="00C50B1C" w:rsidRDefault="008D1626" w:rsidP="00237F79">
      <w:pPr>
        <w:jc w:val="both"/>
        <w:rPr>
          <w:color w:val="0070C0"/>
        </w:rPr>
      </w:pPr>
      <w:hyperlink r:id="rId9" w:history="1">
        <w:r w:rsidR="002E0FFA" w:rsidRPr="00C50B1C">
          <w:rPr>
            <w:rStyle w:val="Hypertextovodkaz"/>
            <w:color w:val="0070C0"/>
          </w:rPr>
          <w:t>Seznam zemí</w:t>
        </w:r>
        <w:r w:rsidR="00355D85" w:rsidRPr="00C50B1C">
          <w:rPr>
            <w:rStyle w:val="Hypertextovodkaz"/>
            <w:color w:val="0070C0"/>
          </w:rPr>
          <w:t xml:space="preserve"> podle míry vynucování Konvence</w:t>
        </w:r>
      </w:hyperlink>
      <w:r w:rsidR="00355D85" w:rsidRPr="00C50B1C">
        <w:rPr>
          <w:color w:val="0070C0"/>
        </w:rPr>
        <w:t xml:space="preserve"> </w:t>
      </w:r>
    </w:p>
    <w:p w:rsidR="00355D85" w:rsidRPr="00C50B1C" w:rsidRDefault="00C50B1C" w:rsidP="00237F79">
      <w:pPr>
        <w:jc w:val="both"/>
        <w:rPr>
          <w:rStyle w:val="Hypertextovodkaz"/>
          <w:color w:val="0070C0"/>
        </w:rPr>
      </w:pPr>
      <w:r w:rsidRPr="00C50B1C">
        <w:rPr>
          <w:color w:val="0070C0"/>
        </w:rPr>
        <w:fldChar w:fldCharType="begin"/>
      </w:r>
      <w:r w:rsidRPr="00C50B1C">
        <w:rPr>
          <w:color w:val="0070C0"/>
        </w:rPr>
        <w:instrText xml:space="preserve"> HYPERLINK "http://www.transparency.cz/wp-content/uploads/Exporting-Corruption-Progress-Report-2015.pdf" </w:instrText>
      </w:r>
      <w:r w:rsidRPr="00C50B1C">
        <w:rPr>
          <w:color w:val="0070C0"/>
        </w:rPr>
        <w:fldChar w:fldCharType="separate"/>
      </w:r>
      <w:r w:rsidR="00355D85" w:rsidRPr="00C50B1C">
        <w:rPr>
          <w:rStyle w:val="Hypertextovodkaz"/>
          <w:color w:val="0070C0"/>
        </w:rPr>
        <w:t>Exporting Corruption Index</w:t>
      </w:r>
    </w:p>
    <w:p w:rsidR="002F54D8" w:rsidRDefault="00C50B1C" w:rsidP="00F82FA9">
      <w:pPr>
        <w:rPr>
          <w:b/>
          <w:u w:val="single"/>
        </w:rPr>
      </w:pPr>
      <w:r w:rsidRPr="00C50B1C">
        <w:rPr>
          <w:color w:val="0070C0"/>
        </w:rPr>
        <w:fldChar w:fldCharType="end"/>
      </w:r>
    </w:p>
    <w:p w:rsidR="00F82FA9" w:rsidRPr="00361FBB" w:rsidRDefault="00F82FA9" w:rsidP="00F82FA9">
      <w:pPr>
        <w:rPr>
          <w:b/>
          <w:u w:val="single"/>
        </w:rPr>
      </w:pPr>
      <w:r w:rsidRPr="00361FBB">
        <w:rPr>
          <w:b/>
          <w:u w:val="single"/>
        </w:rPr>
        <w:t>Kontakt pro média:</w:t>
      </w:r>
    </w:p>
    <w:p w:rsidR="00F82FA9" w:rsidRDefault="00237F79" w:rsidP="00F82FA9">
      <w:pPr>
        <w:spacing w:after="0"/>
      </w:pPr>
      <w:r>
        <w:t>David Ondráčka</w:t>
      </w:r>
      <w:r w:rsidR="00F82FA9">
        <w:t xml:space="preserve">, ředitel Transparency International </w:t>
      </w:r>
      <w:r w:rsidR="00E17000">
        <w:t>- Česká republika, o. p. s.</w:t>
      </w:r>
    </w:p>
    <w:p w:rsidR="00F82FA9" w:rsidRDefault="00F82FA9" w:rsidP="00F82FA9">
      <w:pPr>
        <w:spacing w:after="0"/>
      </w:pPr>
      <w:r>
        <w:t>Mobil: +420</w:t>
      </w:r>
      <w:r w:rsidR="002F54D8">
        <w:t> 605 814786</w:t>
      </w:r>
    </w:p>
    <w:p w:rsidR="00F82FA9" w:rsidRPr="00E17000" w:rsidRDefault="00F82FA9" w:rsidP="00E85005">
      <w:pPr>
        <w:spacing w:after="0"/>
        <w:rPr>
          <w:color w:val="0070C0"/>
          <w:u w:val="single"/>
        </w:rPr>
      </w:pPr>
      <w:r>
        <w:t xml:space="preserve">E-mail: </w:t>
      </w:r>
      <w:hyperlink r:id="rId10" w:history="1">
        <w:r w:rsidR="00237F79" w:rsidRPr="00E17000">
          <w:rPr>
            <w:rStyle w:val="Hypertextovodkaz"/>
            <w:color w:val="0070C0"/>
          </w:rPr>
          <w:t>ondracka@transparency.cz</w:t>
        </w:r>
      </w:hyperlink>
    </w:p>
    <w:p w:rsidR="00A53006" w:rsidRPr="00026D61" w:rsidRDefault="00A53006" w:rsidP="00026D61">
      <w:pPr>
        <w:tabs>
          <w:tab w:val="left" w:pos="3585"/>
        </w:tabs>
      </w:pPr>
    </w:p>
    <w:sectPr w:rsidR="00A53006" w:rsidRPr="00026D61" w:rsidSect="00D911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3F" w:rsidRDefault="000C173F" w:rsidP="00A53006">
      <w:pPr>
        <w:spacing w:after="0" w:line="240" w:lineRule="auto"/>
      </w:pPr>
      <w:r>
        <w:separator/>
      </w:r>
    </w:p>
  </w:endnote>
  <w:endnote w:type="continuationSeparator" w:id="0">
    <w:p w:rsidR="000C173F" w:rsidRDefault="000C173F" w:rsidP="00A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Oswald"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13B95" w:rsidRPr="00786744" w:rsidRDefault="00913B95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D1626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D1626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Transparency International - Česká republika, o. p. s. | Sokolovská 260/143, 180 00 Praha 8, Česká republika | </w:t>
    </w:r>
  </w:p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3F" w:rsidRDefault="000C173F" w:rsidP="00A53006">
      <w:pPr>
        <w:spacing w:after="0" w:line="240" w:lineRule="auto"/>
      </w:pPr>
      <w:r>
        <w:separator/>
      </w:r>
    </w:p>
  </w:footnote>
  <w:footnote w:type="continuationSeparator" w:id="0">
    <w:p w:rsidR="000C173F" w:rsidRDefault="000C173F" w:rsidP="00A5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</w:pPr>
  </w:p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  <w:p w:rsidR="00D11651" w:rsidRDefault="00D11651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</w:p>
  <w:p w:rsidR="00D11651" w:rsidRPr="002E4134" w:rsidRDefault="00D11651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791"/>
    <w:multiLevelType w:val="hybridMultilevel"/>
    <w:tmpl w:val="3A680FE6"/>
    <w:lvl w:ilvl="0" w:tplc="FCF6F8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37432"/>
    <w:multiLevelType w:val="hybridMultilevel"/>
    <w:tmpl w:val="02C8E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2A54"/>
    <w:multiLevelType w:val="hybridMultilevel"/>
    <w:tmpl w:val="AC5A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95D21"/>
    <w:multiLevelType w:val="hybridMultilevel"/>
    <w:tmpl w:val="E4BA5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6BB"/>
    <w:rsid w:val="00026D61"/>
    <w:rsid w:val="000512C5"/>
    <w:rsid w:val="000911EA"/>
    <w:rsid w:val="000C173F"/>
    <w:rsid w:val="000C64D7"/>
    <w:rsid w:val="000C7A69"/>
    <w:rsid w:val="000F789D"/>
    <w:rsid w:val="0012161D"/>
    <w:rsid w:val="00133CF3"/>
    <w:rsid w:val="00153CBE"/>
    <w:rsid w:val="001C2F3A"/>
    <w:rsid w:val="001D67A9"/>
    <w:rsid w:val="00237F79"/>
    <w:rsid w:val="002A500E"/>
    <w:rsid w:val="002C5121"/>
    <w:rsid w:val="002E0FFA"/>
    <w:rsid w:val="002E3965"/>
    <w:rsid w:val="002E4134"/>
    <w:rsid w:val="002F54D8"/>
    <w:rsid w:val="003355A7"/>
    <w:rsid w:val="003557CE"/>
    <w:rsid w:val="00355D85"/>
    <w:rsid w:val="003802BC"/>
    <w:rsid w:val="003C1168"/>
    <w:rsid w:val="003D782B"/>
    <w:rsid w:val="00445F84"/>
    <w:rsid w:val="0046066B"/>
    <w:rsid w:val="004730DD"/>
    <w:rsid w:val="00496D85"/>
    <w:rsid w:val="004B2425"/>
    <w:rsid w:val="004F4B0B"/>
    <w:rsid w:val="005033DF"/>
    <w:rsid w:val="00585C70"/>
    <w:rsid w:val="00590AF9"/>
    <w:rsid w:val="0059231E"/>
    <w:rsid w:val="005C096E"/>
    <w:rsid w:val="00622A55"/>
    <w:rsid w:val="0063674F"/>
    <w:rsid w:val="006538FF"/>
    <w:rsid w:val="006866C3"/>
    <w:rsid w:val="00687799"/>
    <w:rsid w:val="0073457A"/>
    <w:rsid w:val="0074299F"/>
    <w:rsid w:val="00786744"/>
    <w:rsid w:val="00794E63"/>
    <w:rsid w:val="007C6326"/>
    <w:rsid w:val="007F1DED"/>
    <w:rsid w:val="00801BDA"/>
    <w:rsid w:val="008066EF"/>
    <w:rsid w:val="00811415"/>
    <w:rsid w:val="00817E07"/>
    <w:rsid w:val="00822290"/>
    <w:rsid w:val="00897CED"/>
    <w:rsid w:val="008C3A22"/>
    <w:rsid w:val="008D1626"/>
    <w:rsid w:val="008E38C9"/>
    <w:rsid w:val="00913B95"/>
    <w:rsid w:val="00960D2E"/>
    <w:rsid w:val="00966C16"/>
    <w:rsid w:val="009904E2"/>
    <w:rsid w:val="009C5A0A"/>
    <w:rsid w:val="009E25D9"/>
    <w:rsid w:val="00A128BA"/>
    <w:rsid w:val="00A24F2B"/>
    <w:rsid w:val="00A53006"/>
    <w:rsid w:val="00AC4CBD"/>
    <w:rsid w:val="00AE645C"/>
    <w:rsid w:val="00AF1629"/>
    <w:rsid w:val="00B50FC3"/>
    <w:rsid w:val="00B61BB5"/>
    <w:rsid w:val="00B92DED"/>
    <w:rsid w:val="00BC3AC6"/>
    <w:rsid w:val="00BE07A7"/>
    <w:rsid w:val="00C0236C"/>
    <w:rsid w:val="00C23101"/>
    <w:rsid w:val="00C50B1C"/>
    <w:rsid w:val="00C8793C"/>
    <w:rsid w:val="00CA5C2C"/>
    <w:rsid w:val="00CA72FB"/>
    <w:rsid w:val="00CD3C78"/>
    <w:rsid w:val="00CE7B0C"/>
    <w:rsid w:val="00D11651"/>
    <w:rsid w:val="00D911B1"/>
    <w:rsid w:val="00DB2766"/>
    <w:rsid w:val="00E149BB"/>
    <w:rsid w:val="00E17000"/>
    <w:rsid w:val="00E3338E"/>
    <w:rsid w:val="00E765C0"/>
    <w:rsid w:val="00E774A2"/>
    <w:rsid w:val="00E77E44"/>
    <w:rsid w:val="00E85005"/>
    <w:rsid w:val="00EA0724"/>
    <w:rsid w:val="00EA1381"/>
    <w:rsid w:val="00EB3F45"/>
    <w:rsid w:val="00EB7DF8"/>
    <w:rsid w:val="00EC3843"/>
    <w:rsid w:val="00F5603B"/>
    <w:rsid w:val="00F81D9A"/>
    <w:rsid w:val="00F82FA9"/>
    <w:rsid w:val="00F87BCD"/>
    <w:rsid w:val="00FD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033DF"/>
    <w:rPr>
      <w:color w:val="800080" w:themeColor="followedHyperlink"/>
      <w:u w:val="single"/>
    </w:rPr>
  </w:style>
  <w:style w:type="paragraph" w:customStyle="1" w:styleId="CharChar1CharCharCharCharCharCharChar">
    <w:name w:val="Char Char1 Char Char Char Char Char Char Char"/>
    <w:basedOn w:val="Normln"/>
    <w:rsid w:val="000C7A69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033DF"/>
    <w:rPr>
      <w:color w:val="800080" w:themeColor="followedHyperlink"/>
      <w:u w:val="single"/>
    </w:rPr>
  </w:style>
  <w:style w:type="paragraph" w:customStyle="1" w:styleId="CharChar1CharCharCharCharCharCharChar">
    <w:name w:val="Char Char1 Char Char Char Char Char Char Char"/>
    <w:basedOn w:val="Normln"/>
    <w:rsid w:val="000C7A69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ndracka@transparenc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nsparency.cz/wp-content/uploads/Exporting-Corruption-2015-Infografika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256747-37A5-494F-A0A1-5559F461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11</cp:revision>
  <cp:lastPrinted>2015-06-26T11:14:00Z</cp:lastPrinted>
  <dcterms:created xsi:type="dcterms:W3CDTF">2015-08-20T07:46:00Z</dcterms:created>
  <dcterms:modified xsi:type="dcterms:W3CDTF">2015-08-20T12:47:00Z</dcterms:modified>
</cp:coreProperties>
</file>