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A9" w:rsidRPr="007457A9" w:rsidRDefault="007457A9" w:rsidP="0072353B">
      <w:pPr>
        <w:jc w:val="both"/>
        <w:rPr>
          <w:rFonts w:asciiTheme="minorHAnsi" w:hAnsiTheme="minorHAnsi"/>
          <w:sz w:val="25"/>
          <w:szCs w:val="25"/>
        </w:rPr>
      </w:pPr>
    </w:p>
    <w:p w:rsidR="00F42505" w:rsidRPr="0069218F" w:rsidRDefault="00F42505" w:rsidP="0072353B">
      <w:pPr>
        <w:jc w:val="both"/>
        <w:rPr>
          <w:rFonts w:asciiTheme="minorHAnsi" w:hAnsiTheme="minorHAnsi"/>
          <w:b/>
          <w:sz w:val="25"/>
          <w:szCs w:val="25"/>
        </w:rPr>
      </w:pPr>
      <w:r w:rsidRPr="0069218F">
        <w:rPr>
          <w:rFonts w:asciiTheme="minorHAnsi" w:hAnsiTheme="minorHAnsi"/>
          <w:b/>
          <w:sz w:val="25"/>
          <w:szCs w:val="25"/>
        </w:rPr>
        <w:t>Tisková zpráva</w:t>
      </w:r>
    </w:p>
    <w:p w:rsidR="00F42505" w:rsidRDefault="00F42505" w:rsidP="0072353B">
      <w:pPr>
        <w:jc w:val="both"/>
        <w:rPr>
          <w:rFonts w:asciiTheme="minorHAnsi" w:hAnsiTheme="minorHAnsi"/>
          <w:sz w:val="25"/>
          <w:szCs w:val="25"/>
        </w:rPr>
      </w:pPr>
    </w:p>
    <w:p w:rsidR="00F42505" w:rsidRDefault="00F42505" w:rsidP="0072353B">
      <w:pPr>
        <w:jc w:val="both"/>
        <w:rPr>
          <w:rFonts w:asciiTheme="minorHAnsi" w:hAnsiTheme="minorHAnsi"/>
          <w:b/>
          <w:color w:val="0070C0"/>
          <w:sz w:val="25"/>
          <w:szCs w:val="25"/>
        </w:rPr>
      </w:pPr>
      <w:r w:rsidRPr="0069218F">
        <w:rPr>
          <w:rFonts w:asciiTheme="minorHAnsi" w:hAnsiTheme="minorHAnsi"/>
          <w:b/>
          <w:color w:val="0070C0"/>
          <w:sz w:val="25"/>
          <w:szCs w:val="25"/>
        </w:rPr>
        <w:t xml:space="preserve">Odpověď </w:t>
      </w:r>
      <w:r w:rsidR="00E07846" w:rsidRPr="0069218F">
        <w:rPr>
          <w:rFonts w:asciiTheme="minorHAnsi" w:hAnsiTheme="minorHAnsi"/>
          <w:b/>
          <w:color w:val="0070C0"/>
          <w:sz w:val="25"/>
          <w:szCs w:val="25"/>
        </w:rPr>
        <w:t xml:space="preserve">TI </w:t>
      </w:r>
      <w:r w:rsidR="006F5040">
        <w:rPr>
          <w:rFonts w:asciiTheme="minorHAnsi" w:hAnsiTheme="minorHAnsi"/>
          <w:b/>
          <w:color w:val="0070C0"/>
          <w:sz w:val="25"/>
          <w:szCs w:val="25"/>
        </w:rPr>
        <w:t xml:space="preserve">na </w:t>
      </w:r>
      <w:r w:rsidRPr="0069218F">
        <w:rPr>
          <w:rFonts w:asciiTheme="minorHAnsi" w:hAnsiTheme="minorHAnsi"/>
          <w:b/>
          <w:color w:val="0070C0"/>
          <w:sz w:val="25"/>
          <w:szCs w:val="25"/>
        </w:rPr>
        <w:t xml:space="preserve">stanovisko Ministerstva financí </w:t>
      </w:r>
      <w:r w:rsidR="00D80C61">
        <w:rPr>
          <w:rFonts w:asciiTheme="minorHAnsi" w:hAnsiTheme="minorHAnsi"/>
          <w:b/>
          <w:color w:val="0070C0"/>
          <w:sz w:val="25"/>
          <w:szCs w:val="25"/>
        </w:rPr>
        <w:t>České republiky</w:t>
      </w:r>
      <w:r w:rsidR="00C72467" w:rsidRPr="0069218F">
        <w:rPr>
          <w:rFonts w:asciiTheme="minorHAnsi" w:hAnsiTheme="minorHAnsi"/>
          <w:b/>
          <w:color w:val="0070C0"/>
          <w:sz w:val="25"/>
          <w:szCs w:val="25"/>
        </w:rPr>
        <w:t xml:space="preserve"> (MF</w:t>
      </w:r>
      <w:r w:rsidR="006F5040">
        <w:rPr>
          <w:rFonts w:asciiTheme="minorHAnsi" w:hAnsiTheme="minorHAnsi"/>
          <w:b/>
          <w:color w:val="0070C0"/>
          <w:sz w:val="25"/>
          <w:szCs w:val="25"/>
        </w:rPr>
        <w:t xml:space="preserve"> </w:t>
      </w:r>
      <w:r w:rsidR="00C72467" w:rsidRPr="0069218F">
        <w:rPr>
          <w:rFonts w:asciiTheme="minorHAnsi" w:hAnsiTheme="minorHAnsi"/>
          <w:b/>
          <w:color w:val="0070C0"/>
          <w:sz w:val="25"/>
          <w:szCs w:val="25"/>
        </w:rPr>
        <w:t>ČR)</w:t>
      </w:r>
      <w:r w:rsidR="00E07846" w:rsidRPr="0069218F">
        <w:rPr>
          <w:rFonts w:asciiTheme="minorHAnsi" w:hAnsiTheme="minorHAnsi"/>
          <w:b/>
          <w:color w:val="0070C0"/>
          <w:sz w:val="25"/>
          <w:szCs w:val="25"/>
        </w:rPr>
        <w:t xml:space="preserve"> reagující na témata</w:t>
      </w:r>
      <w:r w:rsidRPr="0069218F">
        <w:rPr>
          <w:rFonts w:asciiTheme="minorHAnsi" w:hAnsiTheme="minorHAnsi"/>
          <w:b/>
          <w:color w:val="0070C0"/>
          <w:sz w:val="25"/>
          <w:szCs w:val="25"/>
        </w:rPr>
        <w:t xml:space="preserve"> </w:t>
      </w:r>
      <w:r w:rsidR="00E07846" w:rsidRPr="0069218F">
        <w:rPr>
          <w:rFonts w:asciiTheme="minorHAnsi" w:hAnsiTheme="minorHAnsi"/>
          <w:b/>
          <w:color w:val="0070C0"/>
          <w:sz w:val="25"/>
          <w:szCs w:val="25"/>
        </w:rPr>
        <w:t xml:space="preserve">v Otázkách </w:t>
      </w:r>
      <w:r w:rsidRPr="0069218F">
        <w:rPr>
          <w:rFonts w:asciiTheme="minorHAnsi" w:hAnsiTheme="minorHAnsi"/>
          <w:b/>
          <w:color w:val="0070C0"/>
          <w:sz w:val="25"/>
          <w:szCs w:val="25"/>
        </w:rPr>
        <w:t>Václava Moravce</w:t>
      </w:r>
      <w:r w:rsidR="00E07846" w:rsidRPr="0069218F">
        <w:rPr>
          <w:rFonts w:asciiTheme="minorHAnsi" w:hAnsiTheme="minorHAnsi"/>
          <w:b/>
          <w:color w:val="0070C0"/>
          <w:sz w:val="25"/>
          <w:szCs w:val="25"/>
        </w:rPr>
        <w:t xml:space="preserve"> ze dne</w:t>
      </w:r>
      <w:r w:rsidRPr="0069218F">
        <w:rPr>
          <w:rFonts w:asciiTheme="minorHAnsi" w:hAnsiTheme="minorHAnsi"/>
          <w:b/>
          <w:color w:val="0070C0"/>
          <w:sz w:val="25"/>
          <w:szCs w:val="25"/>
        </w:rPr>
        <w:t xml:space="preserve"> 17. 4. 2016</w:t>
      </w:r>
    </w:p>
    <w:p w:rsidR="006F5040" w:rsidRDefault="006F5040" w:rsidP="0072353B">
      <w:pPr>
        <w:jc w:val="both"/>
        <w:rPr>
          <w:rFonts w:asciiTheme="minorHAnsi" w:hAnsiTheme="minorHAnsi"/>
          <w:b/>
          <w:color w:val="0070C0"/>
          <w:sz w:val="25"/>
          <w:szCs w:val="25"/>
        </w:rPr>
      </w:pPr>
    </w:p>
    <w:p w:rsidR="006F5040" w:rsidRDefault="006F5040" w:rsidP="0072353B">
      <w:pPr>
        <w:jc w:val="both"/>
        <w:rPr>
          <w:rFonts w:asciiTheme="minorHAnsi" w:hAnsiTheme="minorHAnsi"/>
          <w:b/>
          <w:color w:val="0070C0"/>
          <w:sz w:val="25"/>
          <w:szCs w:val="25"/>
        </w:rPr>
      </w:pPr>
      <w:r>
        <w:rPr>
          <w:rFonts w:asciiTheme="minorHAnsi" w:hAnsiTheme="minorHAnsi"/>
          <w:b/>
          <w:noProof/>
          <w:color w:val="0070C0"/>
          <w:sz w:val="25"/>
          <w:szCs w:val="25"/>
        </w:rPr>
        <w:drawing>
          <wp:inline distT="0" distB="0" distL="0" distR="0">
            <wp:extent cx="5762625" cy="3551555"/>
            <wp:effectExtent l="0" t="0" r="9525" b="0"/>
            <wp:docPr id="3" name="Obrázek 3" descr="\\tisad01.ad.transparency.cz\Plochy$\kotora\Přehled inkasa daně z příjmu právnických osob v letech 1993 až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sad01.ad.transparency.cz\Plochy$\kotora\Přehled inkasa daně z příjmu právnických osob v letech 1993 až 20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551555"/>
                    </a:xfrm>
                    <a:prstGeom prst="rect">
                      <a:avLst/>
                    </a:prstGeom>
                    <a:noFill/>
                    <a:ln>
                      <a:noFill/>
                    </a:ln>
                  </pic:spPr>
                </pic:pic>
              </a:graphicData>
            </a:graphic>
          </wp:inline>
        </w:drawing>
      </w:r>
    </w:p>
    <w:p w:rsidR="006F5040" w:rsidRPr="001373C6" w:rsidRDefault="006F5040" w:rsidP="0072353B">
      <w:pPr>
        <w:jc w:val="both"/>
        <w:rPr>
          <w:rFonts w:asciiTheme="minorHAnsi" w:hAnsiTheme="minorHAnsi"/>
          <w:color w:val="808080" w:themeColor="background1" w:themeShade="80"/>
          <w:sz w:val="28"/>
          <w:szCs w:val="28"/>
          <w:vertAlign w:val="superscript"/>
        </w:rPr>
      </w:pPr>
      <w:r w:rsidRPr="001373C6">
        <w:rPr>
          <w:rFonts w:asciiTheme="minorHAnsi" w:hAnsiTheme="minorHAnsi"/>
          <w:color w:val="808080" w:themeColor="background1" w:themeShade="80"/>
          <w:sz w:val="28"/>
          <w:szCs w:val="28"/>
          <w:vertAlign w:val="superscript"/>
        </w:rPr>
        <w:t>Přehled inkasa daně z příjmu právnických osob v letech 1993 až 2014 | zdroj: MF ČR</w:t>
      </w:r>
    </w:p>
    <w:p w:rsidR="00F42505" w:rsidRDefault="00F42505" w:rsidP="0072353B">
      <w:pPr>
        <w:jc w:val="both"/>
        <w:rPr>
          <w:rFonts w:asciiTheme="minorHAnsi" w:hAnsiTheme="minorHAnsi"/>
          <w:sz w:val="25"/>
          <w:szCs w:val="25"/>
        </w:rPr>
      </w:pPr>
    </w:p>
    <w:p w:rsidR="00B160FB" w:rsidRDefault="00F42505" w:rsidP="0072353B">
      <w:pPr>
        <w:jc w:val="both"/>
        <w:rPr>
          <w:rFonts w:asciiTheme="minorHAnsi" w:hAnsiTheme="minorHAnsi"/>
          <w:b/>
          <w:sz w:val="25"/>
          <w:szCs w:val="25"/>
        </w:rPr>
      </w:pPr>
      <w:r w:rsidRPr="0069218F">
        <w:rPr>
          <w:rFonts w:asciiTheme="minorHAnsi" w:hAnsiTheme="minorHAnsi"/>
          <w:b/>
          <w:sz w:val="25"/>
          <w:szCs w:val="25"/>
        </w:rPr>
        <w:t xml:space="preserve">Praha 20. dubna 2016 – </w:t>
      </w:r>
      <w:r w:rsidR="00B160FB">
        <w:rPr>
          <w:rFonts w:asciiTheme="minorHAnsi" w:hAnsiTheme="minorHAnsi"/>
          <w:b/>
          <w:sz w:val="25"/>
          <w:szCs w:val="25"/>
        </w:rPr>
        <w:t xml:space="preserve">Kritika Ministerstva financí směrem k </w:t>
      </w:r>
      <w:r w:rsidRPr="0069218F">
        <w:rPr>
          <w:rFonts w:asciiTheme="minorHAnsi" w:hAnsiTheme="minorHAnsi"/>
          <w:b/>
          <w:sz w:val="25"/>
          <w:szCs w:val="25"/>
        </w:rPr>
        <w:t>Transparency International</w:t>
      </w:r>
      <w:r w:rsidR="00B160FB">
        <w:rPr>
          <w:rFonts w:asciiTheme="minorHAnsi" w:hAnsiTheme="minorHAnsi"/>
          <w:b/>
          <w:sz w:val="25"/>
          <w:szCs w:val="25"/>
        </w:rPr>
        <w:t xml:space="preserve"> a našich kolegů z Glopolis je povrchní a neopodstatněná. </w:t>
      </w:r>
      <w:r w:rsidR="0072353B">
        <w:rPr>
          <w:rFonts w:asciiTheme="minorHAnsi" w:hAnsiTheme="minorHAnsi"/>
          <w:b/>
          <w:sz w:val="25"/>
          <w:szCs w:val="25"/>
        </w:rPr>
        <w:t xml:space="preserve">Raději </w:t>
      </w:r>
      <w:r w:rsidR="00DA0B50">
        <w:rPr>
          <w:rFonts w:asciiTheme="minorHAnsi" w:hAnsiTheme="minorHAnsi"/>
          <w:b/>
          <w:sz w:val="25"/>
          <w:szCs w:val="25"/>
        </w:rPr>
        <w:t xml:space="preserve">bychom viděli konkrétní kroky a </w:t>
      </w:r>
      <w:r w:rsidR="00B160FB">
        <w:rPr>
          <w:rFonts w:asciiTheme="minorHAnsi" w:hAnsiTheme="minorHAnsi"/>
          <w:b/>
          <w:sz w:val="25"/>
          <w:szCs w:val="25"/>
        </w:rPr>
        <w:t xml:space="preserve">pozice České republiky vůči korporátnímu vyhýbání se daní a offshorovým </w:t>
      </w:r>
      <w:r w:rsidR="0072353B">
        <w:rPr>
          <w:rFonts w:asciiTheme="minorHAnsi" w:hAnsiTheme="minorHAnsi"/>
          <w:b/>
          <w:sz w:val="25"/>
          <w:szCs w:val="25"/>
        </w:rPr>
        <w:t>strukturám</w:t>
      </w:r>
      <w:r w:rsidR="00B160FB">
        <w:rPr>
          <w:rFonts w:asciiTheme="minorHAnsi" w:hAnsiTheme="minorHAnsi"/>
          <w:b/>
          <w:sz w:val="25"/>
          <w:szCs w:val="25"/>
        </w:rPr>
        <w:t xml:space="preserve">. </w:t>
      </w:r>
    </w:p>
    <w:p w:rsidR="0069218F" w:rsidRPr="0069218F" w:rsidRDefault="0069218F" w:rsidP="0072353B">
      <w:pPr>
        <w:jc w:val="both"/>
        <w:rPr>
          <w:rFonts w:asciiTheme="minorHAnsi" w:hAnsiTheme="minorHAnsi"/>
          <w:b/>
          <w:sz w:val="25"/>
          <w:szCs w:val="25"/>
        </w:rPr>
      </w:pPr>
    </w:p>
    <w:p w:rsidR="00B160FB" w:rsidRDefault="00B160FB" w:rsidP="0072353B">
      <w:pPr>
        <w:jc w:val="both"/>
        <w:rPr>
          <w:rFonts w:asciiTheme="minorHAnsi" w:hAnsiTheme="minorHAnsi"/>
          <w:sz w:val="25"/>
          <w:szCs w:val="25"/>
        </w:rPr>
      </w:pPr>
      <w:r>
        <w:rPr>
          <w:rFonts w:asciiTheme="minorHAnsi" w:hAnsiTheme="minorHAnsi"/>
          <w:sz w:val="25"/>
          <w:szCs w:val="25"/>
        </w:rPr>
        <w:t xml:space="preserve">Ohledně kritizovaného objemu daňových úniků, o které ČR každoročně v souvislosti s daňovými ráji a přesouváním zisků přichází, citujeme kolegy z Glopolis: </w:t>
      </w:r>
      <w:r w:rsidRPr="002A412E">
        <w:rPr>
          <w:rFonts w:asciiTheme="minorHAnsi" w:hAnsiTheme="minorHAnsi"/>
          <w:b/>
          <w:i/>
          <w:sz w:val="25"/>
          <w:szCs w:val="25"/>
        </w:rPr>
        <w:t>„Vítáme, pokud resort financí přijde s konkrétními propočty pro ČR. Zatím zveřejnil jen odhady, nikoliv konkrétní data, k nimž by mohl mít při výběru daní přístup. My jsme vycházeli ze studie Výzkumné služby Evropského parlamentu pro státy EU, resort financí se odvolává na odhad OECD pro celý svět, který sama OECD označuje za konzervativní, rozumějte opatrný</w:t>
      </w:r>
      <w:r w:rsidR="0051550E">
        <w:rPr>
          <w:rFonts w:asciiTheme="minorHAnsi" w:hAnsiTheme="minorHAnsi"/>
          <w:b/>
          <w:i/>
          <w:sz w:val="25"/>
          <w:szCs w:val="25"/>
        </w:rPr>
        <w:t>.</w:t>
      </w:r>
      <w:bookmarkStart w:id="0" w:name="_GoBack"/>
      <w:bookmarkEnd w:id="0"/>
      <w:r w:rsidRPr="002A412E">
        <w:rPr>
          <w:rFonts w:asciiTheme="minorHAnsi" w:hAnsiTheme="minorHAnsi"/>
          <w:b/>
          <w:i/>
          <w:sz w:val="25"/>
          <w:szCs w:val="25"/>
        </w:rPr>
        <w:t>“</w:t>
      </w:r>
      <w:r w:rsidRPr="00B15EE3">
        <w:rPr>
          <w:rFonts w:asciiTheme="minorHAnsi" w:hAnsiTheme="minorHAnsi"/>
          <w:i/>
          <w:sz w:val="25"/>
          <w:szCs w:val="25"/>
        </w:rPr>
        <w:t xml:space="preserve"> </w:t>
      </w:r>
    </w:p>
    <w:p w:rsidR="00B160FB" w:rsidRDefault="00B160FB" w:rsidP="0072353B">
      <w:pPr>
        <w:jc w:val="both"/>
        <w:rPr>
          <w:rFonts w:asciiTheme="minorHAnsi" w:hAnsiTheme="minorHAnsi"/>
          <w:sz w:val="25"/>
          <w:szCs w:val="25"/>
        </w:rPr>
      </w:pPr>
    </w:p>
    <w:p w:rsidR="006F5040" w:rsidRDefault="00B160FB" w:rsidP="0072353B">
      <w:pPr>
        <w:jc w:val="both"/>
        <w:rPr>
          <w:rFonts w:asciiTheme="minorHAnsi" w:hAnsiTheme="minorHAnsi"/>
          <w:sz w:val="25"/>
          <w:szCs w:val="25"/>
        </w:rPr>
      </w:pPr>
      <w:r>
        <w:rPr>
          <w:rFonts w:asciiTheme="minorHAnsi" w:hAnsiTheme="minorHAnsi"/>
          <w:sz w:val="25"/>
          <w:szCs w:val="25"/>
        </w:rPr>
        <w:t>Překvapuje nás bagatelizující postoj MF ČR k problematice výnosů plynoucích z korporátních daní. „</w:t>
      </w:r>
      <w:r w:rsidRPr="00B15EE3">
        <w:rPr>
          <w:rFonts w:asciiTheme="minorHAnsi" w:hAnsiTheme="minorHAnsi"/>
          <w:i/>
          <w:sz w:val="25"/>
          <w:szCs w:val="25"/>
        </w:rPr>
        <w:t>Ministerstvo financí se daňovým únikům na korporátních daních věnuje adekvátně tomu, že je z hlediska výnosu v českém daňovém systému až třetí nejvýnosnější daní a ročně přináší okolo 120-150 miliard korun, což je méně než polovina výnosu DPH.“</w:t>
      </w:r>
      <w:r>
        <w:rPr>
          <w:rFonts w:asciiTheme="minorHAnsi" w:hAnsiTheme="minorHAnsi"/>
          <w:sz w:val="25"/>
          <w:szCs w:val="25"/>
        </w:rPr>
        <w:t xml:space="preserve"> </w:t>
      </w:r>
    </w:p>
    <w:p w:rsidR="006F5040" w:rsidRDefault="006F5040" w:rsidP="0072353B">
      <w:pPr>
        <w:jc w:val="both"/>
        <w:rPr>
          <w:rFonts w:asciiTheme="minorHAnsi" w:hAnsiTheme="minorHAnsi"/>
          <w:sz w:val="25"/>
          <w:szCs w:val="25"/>
        </w:rPr>
      </w:pPr>
    </w:p>
    <w:p w:rsidR="006F5040" w:rsidRDefault="006F5040" w:rsidP="0072353B">
      <w:pPr>
        <w:jc w:val="both"/>
        <w:rPr>
          <w:rFonts w:asciiTheme="minorHAnsi" w:hAnsiTheme="minorHAnsi"/>
          <w:sz w:val="25"/>
          <w:szCs w:val="25"/>
        </w:rPr>
      </w:pPr>
      <w:r>
        <w:rPr>
          <w:rFonts w:asciiTheme="minorHAnsi" w:hAnsiTheme="minorHAnsi"/>
          <w:sz w:val="25"/>
          <w:szCs w:val="25"/>
        </w:rPr>
        <w:t>Nejsou právě skutečnosti, že za</w:t>
      </w:r>
      <w:r w:rsidR="00E1231F">
        <w:rPr>
          <w:rFonts w:asciiTheme="minorHAnsi" w:hAnsiTheme="minorHAnsi"/>
          <w:sz w:val="25"/>
          <w:szCs w:val="25"/>
        </w:rPr>
        <w:t xml:space="preserve"> </w:t>
      </w:r>
      <w:r w:rsidRPr="006F5040">
        <w:rPr>
          <w:rFonts w:asciiTheme="minorHAnsi" w:hAnsiTheme="minorHAnsi"/>
          <w:sz w:val="25"/>
          <w:szCs w:val="25"/>
        </w:rPr>
        <w:t>prvé výnos z korporátní daně po roce 2008 významně klesl a od té doby víceméně stagnuje, za druhé, že výnos z této daně je až třetí v pořadí výnosů z jednotlivých daní, a za třetí, že v posledních letech neustále stoupá počet českých společností napojených na subjekty v daňových rájích, důkazem toho, že problematika vyhýbání se firemním daní ze strany nadnárodních korporací se sídlem či pobočkou v ČR je dlouhodobě podceňována? Neukazuje relativně nízký poměr výnosu z korporátní daně oproti výnosu z DPH, že právě v oblasti výběru korporátní daně zde existuje značný prostor ke zlepše</w:t>
      </w:r>
      <w:r>
        <w:rPr>
          <w:rFonts w:asciiTheme="minorHAnsi" w:hAnsiTheme="minorHAnsi"/>
          <w:sz w:val="25"/>
          <w:szCs w:val="25"/>
        </w:rPr>
        <w:t xml:space="preserve">ní efektivity výběru této daně </w:t>
      </w:r>
      <w:r w:rsidRPr="006F5040">
        <w:rPr>
          <w:rFonts w:asciiTheme="minorHAnsi" w:hAnsiTheme="minorHAnsi"/>
          <w:sz w:val="25"/>
          <w:szCs w:val="25"/>
        </w:rPr>
        <w:t>a ke zvýšení výnosu z této daně?</w:t>
      </w:r>
    </w:p>
    <w:p w:rsidR="006F5040" w:rsidRDefault="006F5040" w:rsidP="0072353B">
      <w:pPr>
        <w:jc w:val="both"/>
        <w:rPr>
          <w:rFonts w:asciiTheme="minorHAnsi" w:hAnsiTheme="minorHAnsi"/>
          <w:sz w:val="25"/>
          <w:szCs w:val="25"/>
        </w:rPr>
      </w:pPr>
    </w:p>
    <w:p w:rsidR="00B160FB" w:rsidRDefault="00B160FB" w:rsidP="0072353B">
      <w:pPr>
        <w:jc w:val="both"/>
        <w:rPr>
          <w:rFonts w:asciiTheme="minorHAnsi" w:hAnsiTheme="minorHAnsi"/>
          <w:sz w:val="25"/>
          <w:szCs w:val="25"/>
        </w:rPr>
      </w:pPr>
      <w:r>
        <w:rPr>
          <w:rFonts w:asciiTheme="minorHAnsi" w:hAnsiTheme="minorHAnsi"/>
          <w:sz w:val="25"/>
          <w:szCs w:val="25"/>
        </w:rPr>
        <w:t xml:space="preserve">Takto lehkovážný postoj stačí? </w:t>
      </w:r>
      <w:r w:rsidR="00DA0B50">
        <w:rPr>
          <w:rFonts w:asciiTheme="minorHAnsi" w:hAnsiTheme="minorHAnsi"/>
          <w:sz w:val="25"/>
          <w:szCs w:val="25"/>
        </w:rPr>
        <w:t>Srovnejme</w:t>
      </w:r>
      <w:r>
        <w:rPr>
          <w:rFonts w:asciiTheme="minorHAnsi" w:hAnsiTheme="minorHAnsi"/>
          <w:sz w:val="25"/>
          <w:szCs w:val="25"/>
        </w:rPr>
        <w:t xml:space="preserve"> intenzitu </w:t>
      </w:r>
      <w:r w:rsidR="00DA0B50">
        <w:rPr>
          <w:rFonts w:asciiTheme="minorHAnsi" w:hAnsiTheme="minorHAnsi"/>
          <w:sz w:val="25"/>
          <w:szCs w:val="25"/>
        </w:rPr>
        <w:t xml:space="preserve">kroků </w:t>
      </w:r>
      <w:r>
        <w:rPr>
          <w:rFonts w:asciiTheme="minorHAnsi" w:hAnsiTheme="minorHAnsi"/>
          <w:sz w:val="25"/>
          <w:szCs w:val="25"/>
        </w:rPr>
        <w:t xml:space="preserve">ministra financí a ministerstva kolem prosazení </w:t>
      </w:r>
      <w:r w:rsidRPr="007B7EFD">
        <w:rPr>
          <w:rFonts w:asciiTheme="minorHAnsi" w:hAnsiTheme="minorHAnsi"/>
          <w:sz w:val="25"/>
          <w:szCs w:val="25"/>
        </w:rPr>
        <w:t>elektronické evidence tržeb</w:t>
      </w:r>
      <w:r>
        <w:rPr>
          <w:rFonts w:asciiTheme="minorHAnsi" w:hAnsiTheme="minorHAnsi"/>
          <w:sz w:val="25"/>
          <w:szCs w:val="25"/>
        </w:rPr>
        <w:t xml:space="preserve"> (EET), kde stát dle odhadů MF ČR, může získat až 18 miliard korun</w:t>
      </w:r>
      <w:r w:rsidR="00DA0B50">
        <w:rPr>
          <w:rFonts w:asciiTheme="minorHAnsi" w:hAnsiTheme="minorHAnsi"/>
          <w:sz w:val="25"/>
          <w:szCs w:val="25"/>
        </w:rPr>
        <w:t>,</w:t>
      </w:r>
      <w:r w:rsidR="00DA0B50" w:rsidRPr="00DA0B50">
        <w:rPr>
          <w:rFonts w:asciiTheme="minorHAnsi" w:hAnsiTheme="minorHAnsi"/>
          <w:sz w:val="25"/>
          <w:szCs w:val="25"/>
        </w:rPr>
        <w:t xml:space="preserve"> </w:t>
      </w:r>
      <w:r w:rsidR="00DA0B50">
        <w:rPr>
          <w:rFonts w:asciiTheme="minorHAnsi" w:hAnsiTheme="minorHAnsi"/>
          <w:sz w:val="25"/>
          <w:szCs w:val="25"/>
        </w:rPr>
        <w:t>a jednoduchost, s jakou smetávají problematiku daňových rájů ze stolu.</w:t>
      </w:r>
      <w:r>
        <w:rPr>
          <w:rFonts w:asciiTheme="minorHAnsi" w:hAnsiTheme="minorHAnsi"/>
          <w:sz w:val="25"/>
          <w:szCs w:val="25"/>
        </w:rPr>
        <w:t xml:space="preserve"> </w:t>
      </w:r>
      <w:r w:rsidRPr="002A412E">
        <w:rPr>
          <w:rFonts w:asciiTheme="minorHAnsi" w:hAnsiTheme="minorHAnsi"/>
          <w:b/>
          <w:i/>
          <w:sz w:val="25"/>
          <w:szCs w:val="25"/>
        </w:rPr>
        <w:t>„Kolikrát se ještě musí zazvonit na poplach, než si ministerstvo všimne daňového požáru ve vlastním domě,“</w:t>
      </w:r>
      <w:r>
        <w:rPr>
          <w:rFonts w:asciiTheme="minorHAnsi" w:hAnsiTheme="minorHAnsi"/>
          <w:sz w:val="25"/>
          <w:szCs w:val="25"/>
        </w:rPr>
        <w:t xml:space="preserve"> říká Milan Eibl, analytik TI.</w:t>
      </w:r>
    </w:p>
    <w:p w:rsidR="00B160FB" w:rsidRDefault="00B160FB" w:rsidP="0072353B">
      <w:pPr>
        <w:jc w:val="both"/>
        <w:rPr>
          <w:rFonts w:asciiTheme="minorHAnsi" w:hAnsiTheme="minorHAnsi"/>
          <w:sz w:val="25"/>
          <w:szCs w:val="25"/>
        </w:rPr>
      </w:pPr>
    </w:p>
    <w:p w:rsidR="00B160FB" w:rsidRDefault="00B160FB" w:rsidP="0072353B">
      <w:pPr>
        <w:jc w:val="both"/>
        <w:rPr>
          <w:rFonts w:asciiTheme="minorHAnsi" w:hAnsiTheme="minorHAnsi"/>
          <w:sz w:val="25"/>
          <w:szCs w:val="25"/>
        </w:rPr>
      </w:pPr>
      <w:r>
        <w:rPr>
          <w:rFonts w:asciiTheme="minorHAnsi" w:hAnsiTheme="minorHAnsi"/>
          <w:sz w:val="25"/>
          <w:szCs w:val="25"/>
        </w:rPr>
        <w:t>V současné chvíli vláda a ani ministerstvo financí na národní úrovni nepřicházejí s konkrétními kr</w:t>
      </w:r>
      <w:r w:rsidR="008A1978">
        <w:rPr>
          <w:rFonts w:asciiTheme="minorHAnsi" w:hAnsiTheme="minorHAnsi"/>
          <w:sz w:val="25"/>
          <w:szCs w:val="25"/>
        </w:rPr>
        <w:t>oky a řešeními, které by pomohly</w:t>
      </w:r>
      <w:r>
        <w:rPr>
          <w:rFonts w:asciiTheme="minorHAnsi" w:hAnsiTheme="minorHAnsi"/>
          <w:sz w:val="25"/>
          <w:szCs w:val="25"/>
        </w:rPr>
        <w:t xml:space="preserve"> zamezit odtékání financí do daňových rájů. </w:t>
      </w:r>
      <w:r w:rsidRPr="002A412E">
        <w:rPr>
          <w:rFonts w:asciiTheme="minorHAnsi" w:hAnsiTheme="minorHAnsi"/>
          <w:b/>
          <w:i/>
          <w:sz w:val="25"/>
          <w:szCs w:val="25"/>
        </w:rPr>
        <w:t>„Kauzy jako Panama Papers odkrýv</w:t>
      </w:r>
      <w:r w:rsidR="008A1978" w:rsidRPr="002A412E">
        <w:rPr>
          <w:rFonts w:asciiTheme="minorHAnsi" w:hAnsiTheme="minorHAnsi"/>
          <w:b/>
          <w:i/>
          <w:sz w:val="25"/>
          <w:szCs w:val="25"/>
        </w:rPr>
        <w:t>ají souvislosti, které poukazují</w:t>
      </w:r>
      <w:r w:rsidRPr="002A412E">
        <w:rPr>
          <w:rFonts w:asciiTheme="minorHAnsi" w:hAnsiTheme="minorHAnsi"/>
          <w:b/>
          <w:i/>
          <w:sz w:val="25"/>
          <w:szCs w:val="25"/>
        </w:rPr>
        <w:t xml:space="preserve"> na miliardové ztráty i pro Česko. Jaké konkrétně chce vláda řešit </w:t>
      </w:r>
      <w:r w:rsidR="008A1978" w:rsidRPr="002A412E">
        <w:rPr>
          <w:rFonts w:asciiTheme="minorHAnsi" w:hAnsiTheme="minorHAnsi"/>
          <w:b/>
          <w:sz w:val="25"/>
          <w:szCs w:val="25"/>
        </w:rPr>
        <w:t>korporátní daňové ú</w:t>
      </w:r>
      <w:r w:rsidRPr="002A412E">
        <w:rPr>
          <w:rFonts w:asciiTheme="minorHAnsi" w:hAnsiTheme="minorHAnsi"/>
          <w:b/>
          <w:sz w:val="25"/>
          <w:szCs w:val="25"/>
        </w:rPr>
        <w:t>niky na dani z příjmu?</w:t>
      </w:r>
      <w:r w:rsidR="0072353B" w:rsidRPr="002A412E">
        <w:rPr>
          <w:rFonts w:asciiTheme="minorHAnsi" w:hAnsiTheme="minorHAnsi"/>
          <w:b/>
          <w:sz w:val="25"/>
          <w:szCs w:val="25"/>
        </w:rPr>
        <w:t xml:space="preserve"> A udělá z tohoto tématu velké politické téma?</w:t>
      </w:r>
      <w:r w:rsidR="00DA0B50" w:rsidRPr="002A412E">
        <w:rPr>
          <w:rFonts w:asciiTheme="minorHAnsi" w:hAnsiTheme="minorHAnsi"/>
          <w:b/>
          <w:sz w:val="25"/>
          <w:szCs w:val="25"/>
        </w:rPr>
        <w:t>“</w:t>
      </w:r>
      <w:r w:rsidRPr="0072353B">
        <w:rPr>
          <w:rFonts w:asciiTheme="minorHAnsi" w:hAnsiTheme="minorHAnsi"/>
          <w:sz w:val="25"/>
          <w:szCs w:val="25"/>
        </w:rPr>
        <w:t xml:space="preserve"> ptá se </w:t>
      </w:r>
      <w:r>
        <w:rPr>
          <w:rFonts w:asciiTheme="minorHAnsi" w:hAnsiTheme="minorHAnsi"/>
          <w:sz w:val="25"/>
          <w:szCs w:val="25"/>
        </w:rPr>
        <w:t>David Ondráčka, ředitel TI.</w:t>
      </w:r>
    </w:p>
    <w:p w:rsidR="00B160FB" w:rsidRDefault="00B160FB" w:rsidP="0072353B">
      <w:pPr>
        <w:jc w:val="both"/>
        <w:rPr>
          <w:rFonts w:asciiTheme="minorHAnsi" w:hAnsiTheme="minorHAnsi"/>
          <w:sz w:val="25"/>
          <w:szCs w:val="25"/>
        </w:rPr>
      </w:pPr>
    </w:p>
    <w:p w:rsidR="007457A9" w:rsidRDefault="00B160FB" w:rsidP="0072353B">
      <w:pPr>
        <w:jc w:val="both"/>
        <w:rPr>
          <w:rFonts w:asciiTheme="minorHAnsi" w:hAnsiTheme="minorHAnsi"/>
          <w:sz w:val="25"/>
          <w:szCs w:val="25"/>
        </w:rPr>
      </w:pPr>
      <w:r w:rsidRPr="0072353B">
        <w:rPr>
          <w:rFonts w:asciiTheme="minorHAnsi" w:hAnsiTheme="minorHAnsi"/>
          <w:sz w:val="25"/>
          <w:szCs w:val="25"/>
        </w:rPr>
        <w:t xml:space="preserve">TI se detailněji věnuje problematice daňových rájů a offshore destinacím od roku 2013. </w:t>
      </w:r>
      <w:r w:rsidR="00F42505">
        <w:rPr>
          <w:rFonts w:asciiTheme="minorHAnsi" w:hAnsiTheme="minorHAnsi"/>
          <w:sz w:val="25"/>
          <w:szCs w:val="25"/>
        </w:rPr>
        <w:t xml:space="preserve">Za tuto dobu jsme ve spolupráci se společností Bisnode vydali dvě analýzy mapující odtékání veřejných peněz do offshorových struktur (více na našem webu: </w:t>
      </w:r>
      <w:hyperlink r:id="rId9" w:history="1">
        <w:r w:rsidR="00F42505" w:rsidRPr="00F42505">
          <w:rPr>
            <w:rStyle w:val="Hypertextovodkaz"/>
            <w:rFonts w:asciiTheme="minorHAnsi" w:hAnsiTheme="minorHAnsi"/>
            <w:color w:val="0070C0"/>
            <w:sz w:val="25"/>
            <w:szCs w:val="25"/>
          </w:rPr>
          <w:t>153</w:t>
        </w:r>
      </w:hyperlink>
      <w:r w:rsidR="00F42505">
        <w:rPr>
          <w:rFonts w:asciiTheme="minorHAnsi" w:hAnsiTheme="minorHAnsi"/>
          <w:sz w:val="25"/>
          <w:szCs w:val="25"/>
        </w:rPr>
        <w:t xml:space="preserve"> a </w:t>
      </w:r>
      <w:hyperlink r:id="rId10" w:history="1">
        <w:r w:rsidR="00F42505" w:rsidRPr="00F42505">
          <w:rPr>
            <w:rStyle w:val="Hypertextovodkaz"/>
            <w:rFonts w:asciiTheme="minorHAnsi" w:hAnsiTheme="minorHAnsi"/>
            <w:color w:val="0070C0"/>
            <w:sz w:val="25"/>
            <w:szCs w:val="25"/>
          </w:rPr>
          <w:t>244</w:t>
        </w:r>
      </w:hyperlink>
      <w:r w:rsidR="00F42505">
        <w:rPr>
          <w:rFonts w:asciiTheme="minorHAnsi" w:hAnsiTheme="minorHAnsi"/>
          <w:sz w:val="25"/>
          <w:szCs w:val="25"/>
        </w:rPr>
        <w:t xml:space="preserve"> miliard</w:t>
      </w:r>
      <w:r w:rsidR="00B15EE3">
        <w:rPr>
          <w:rFonts w:asciiTheme="minorHAnsi" w:hAnsiTheme="minorHAnsi"/>
          <w:sz w:val="25"/>
          <w:szCs w:val="25"/>
        </w:rPr>
        <w:t xml:space="preserve"> korun</w:t>
      </w:r>
      <w:r w:rsidR="00F42505">
        <w:rPr>
          <w:rFonts w:asciiTheme="minorHAnsi" w:hAnsiTheme="minorHAnsi"/>
          <w:sz w:val="25"/>
          <w:szCs w:val="25"/>
        </w:rPr>
        <w:t>) a také jsme se zaměřili na anonymní firmy pů</w:t>
      </w:r>
      <w:r w:rsidR="002F5279">
        <w:rPr>
          <w:rFonts w:asciiTheme="minorHAnsi" w:hAnsiTheme="minorHAnsi"/>
          <w:sz w:val="25"/>
          <w:szCs w:val="25"/>
        </w:rPr>
        <w:t>sobící v Česku a jejich „oblíbené“</w:t>
      </w:r>
      <w:r w:rsidR="00F42505">
        <w:rPr>
          <w:rFonts w:asciiTheme="minorHAnsi" w:hAnsiTheme="minorHAnsi"/>
          <w:sz w:val="25"/>
          <w:szCs w:val="25"/>
        </w:rPr>
        <w:t xml:space="preserve"> adresy (více opět na webu TI: </w:t>
      </w:r>
      <w:hyperlink r:id="rId11" w:history="1">
        <w:r w:rsidR="00F42505" w:rsidRPr="00BD76D9">
          <w:rPr>
            <w:rStyle w:val="Hypertextovodkaz"/>
            <w:rFonts w:asciiTheme="minorHAnsi" w:hAnsiTheme="minorHAnsi"/>
            <w:color w:val="0070C0"/>
            <w:sz w:val="25"/>
            <w:szCs w:val="25"/>
          </w:rPr>
          <w:t>České „offshore“ přístavy?</w:t>
        </w:r>
      </w:hyperlink>
      <w:r w:rsidR="00F42505">
        <w:rPr>
          <w:rFonts w:asciiTheme="minorHAnsi" w:hAnsiTheme="minorHAnsi"/>
          <w:sz w:val="25"/>
          <w:szCs w:val="25"/>
        </w:rPr>
        <w:t xml:space="preserve">). V roce 2015 jsme také představili projekt </w:t>
      </w:r>
      <w:hyperlink r:id="rId12" w:history="1">
        <w:r w:rsidR="00F42505" w:rsidRPr="00F42505">
          <w:rPr>
            <w:rStyle w:val="Hypertextovodkaz"/>
            <w:rFonts w:asciiTheme="minorHAnsi" w:hAnsiTheme="minorHAnsi"/>
            <w:color w:val="0070C0"/>
            <w:sz w:val="25"/>
            <w:szCs w:val="25"/>
          </w:rPr>
          <w:t>Taxparency</w:t>
        </w:r>
      </w:hyperlink>
      <w:r w:rsidR="00F42505">
        <w:rPr>
          <w:rFonts w:asciiTheme="minorHAnsi" w:hAnsiTheme="minorHAnsi"/>
          <w:sz w:val="25"/>
          <w:szCs w:val="25"/>
        </w:rPr>
        <w:t xml:space="preserve">, který pozitivně </w:t>
      </w:r>
      <w:r>
        <w:rPr>
          <w:rFonts w:asciiTheme="minorHAnsi" w:hAnsiTheme="minorHAnsi"/>
          <w:sz w:val="25"/>
          <w:szCs w:val="25"/>
        </w:rPr>
        <w:t>motivuje</w:t>
      </w:r>
      <w:r w:rsidR="00F42505">
        <w:rPr>
          <w:rFonts w:asciiTheme="minorHAnsi" w:hAnsiTheme="minorHAnsi"/>
          <w:sz w:val="25"/>
          <w:szCs w:val="25"/>
        </w:rPr>
        <w:t xml:space="preserve"> firmy, které </w:t>
      </w:r>
      <w:r>
        <w:rPr>
          <w:rFonts w:asciiTheme="minorHAnsi" w:hAnsiTheme="minorHAnsi"/>
          <w:sz w:val="25"/>
          <w:szCs w:val="25"/>
        </w:rPr>
        <w:t xml:space="preserve">mají jasnou vlastnickou strukturu, platí férové daně </w:t>
      </w:r>
      <w:r w:rsidR="00F42505">
        <w:rPr>
          <w:rFonts w:asciiTheme="minorHAnsi" w:hAnsiTheme="minorHAnsi"/>
          <w:sz w:val="25"/>
          <w:szCs w:val="25"/>
        </w:rPr>
        <w:t>a chovají se zodpovědně</w:t>
      </w:r>
      <w:r>
        <w:rPr>
          <w:rFonts w:asciiTheme="minorHAnsi" w:hAnsiTheme="minorHAnsi"/>
          <w:sz w:val="25"/>
          <w:szCs w:val="25"/>
        </w:rPr>
        <w:t xml:space="preserve"> vůči zemi, kde podnikají</w:t>
      </w:r>
      <w:r w:rsidR="00F42505">
        <w:rPr>
          <w:rFonts w:asciiTheme="minorHAnsi" w:hAnsiTheme="minorHAnsi"/>
          <w:sz w:val="25"/>
          <w:szCs w:val="25"/>
        </w:rPr>
        <w:t>.</w:t>
      </w:r>
    </w:p>
    <w:p w:rsidR="00E07846" w:rsidRDefault="00E07846" w:rsidP="0072353B">
      <w:pPr>
        <w:jc w:val="both"/>
        <w:rPr>
          <w:rFonts w:asciiTheme="minorHAnsi" w:hAnsiTheme="minorHAnsi"/>
          <w:sz w:val="25"/>
          <w:szCs w:val="25"/>
        </w:rPr>
      </w:pPr>
    </w:p>
    <w:p w:rsidR="00E07846" w:rsidRDefault="0051550E" w:rsidP="0072353B">
      <w:pPr>
        <w:jc w:val="both"/>
        <w:rPr>
          <w:rFonts w:asciiTheme="minorHAnsi" w:hAnsiTheme="minorHAnsi"/>
          <w:sz w:val="25"/>
          <w:szCs w:val="25"/>
        </w:rPr>
      </w:pPr>
      <w:hyperlink r:id="rId13" w:history="1">
        <w:r w:rsidR="00E07846" w:rsidRPr="0069218F">
          <w:rPr>
            <w:rStyle w:val="Hypertextovodkaz"/>
            <w:rFonts w:asciiTheme="minorHAnsi" w:hAnsiTheme="minorHAnsi"/>
            <w:color w:val="0070C0"/>
            <w:sz w:val="25"/>
            <w:szCs w:val="25"/>
          </w:rPr>
          <w:t>Panama</w:t>
        </w:r>
        <w:r w:rsidR="00DA0B50">
          <w:rPr>
            <w:rStyle w:val="Hypertextovodkaz"/>
            <w:rFonts w:asciiTheme="minorHAnsi" w:hAnsiTheme="minorHAnsi"/>
            <w:color w:val="0070C0"/>
            <w:sz w:val="25"/>
            <w:szCs w:val="25"/>
          </w:rPr>
          <w:t xml:space="preserve"> </w:t>
        </w:r>
        <w:r w:rsidR="00E07846" w:rsidRPr="0069218F">
          <w:rPr>
            <w:rStyle w:val="Hypertextovodkaz"/>
            <w:rFonts w:asciiTheme="minorHAnsi" w:hAnsiTheme="minorHAnsi"/>
            <w:color w:val="0070C0"/>
            <w:sz w:val="25"/>
            <w:szCs w:val="25"/>
          </w:rPr>
          <w:t>Papers</w:t>
        </w:r>
      </w:hyperlink>
      <w:r w:rsidR="006F5040">
        <w:rPr>
          <w:rFonts w:asciiTheme="minorHAnsi" w:hAnsiTheme="minorHAnsi"/>
          <w:sz w:val="25"/>
          <w:szCs w:val="25"/>
        </w:rPr>
        <w:t xml:space="preserve"> </w:t>
      </w:r>
      <w:r w:rsidR="008A1978">
        <w:rPr>
          <w:rFonts w:asciiTheme="minorHAnsi" w:hAnsiTheme="minorHAnsi"/>
          <w:sz w:val="25"/>
          <w:szCs w:val="25"/>
        </w:rPr>
        <w:t xml:space="preserve">se </w:t>
      </w:r>
      <w:r w:rsidR="006F5040">
        <w:rPr>
          <w:rFonts w:asciiTheme="minorHAnsi" w:hAnsiTheme="minorHAnsi"/>
          <w:sz w:val="25"/>
          <w:szCs w:val="25"/>
        </w:rPr>
        <w:t>d</w:t>
      </w:r>
      <w:r w:rsidR="00546996">
        <w:rPr>
          <w:rFonts w:asciiTheme="minorHAnsi" w:hAnsiTheme="minorHAnsi"/>
          <w:sz w:val="25"/>
          <w:szCs w:val="25"/>
        </w:rPr>
        <w:t>otýk</w:t>
      </w:r>
      <w:r w:rsidR="00B160FB">
        <w:rPr>
          <w:rFonts w:asciiTheme="minorHAnsi" w:hAnsiTheme="minorHAnsi"/>
          <w:sz w:val="25"/>
          <w:szCs w:val="25"/>
        </w:rPr>
        <w:t>ají</w:t>
      </w:r>
      <w:r w:rsidR="00E07846">
        <w:rPr>
          <w:rFonts w:asciiTheme="minorHAnsi" w:hAnsiTheme="minorHAnsi"/>
          <w:sz w:val="25"/>
          <w:szCs w:val="25"/>
        </w:rPr>
        <w:t xml:space="preserve"> i České republiky a jejich občan</w:t>
      </w:r>
      <w:r w:rsidR="00B160FB">
        <w:rPr>
          <w:rFonts w:asciiTheme="minorHAnsi" w:hAnsiTheme="minorHAnsi"/>
          <w:sz w:val="25"/>
          <w:szCs w:val="25"/>
        </w:rPr>
        <w:t xml:space="preserve">ů, ale není to první </w:t>
      </w:r>
      <w:r w:rsidR="002F5279">
        <w:rPr>
          <w:rFonts w:asciiTheme="minorHAnsi" w:hAnsiTheme="minorHAnsi"/>
          <w:sz w:val="25"/>
          <w:szCs w:val="25"/>
        </w:rPr>
        <w:t xml:space="preserve">příklad. </w:t>
      </w:r>
      <w:r w:rsidR="00E07846">
        <w:rPr>
          <w:rFonts w:asciiTheme="minorHAnsi" w:hAnsiTheme="minorHAnsi"/>
          <w:sz w:val="25"/>
          <w:szCs w:val="25"/>
        </w:rPr>
        <w:t>Tak</w:t>
      </w:r>
      <w:r w:rsidR="00546996">
        <w:rPr>
          <w:rFonts w:asciiTheme="minorHAnsi" w:hAnsiTheme="minorHAnsi"/>
          <w:sz w:val="25"/>
          <w:szCs w:val="25"/>
        </w:rPr>
        <w:t xml:space="preserve">řka s každoroční </w:t>
      </w:r>
      <w:r w:rsidR="00E07846">
        <w:rPr>
          <w:rFonts w:asciiTheme="minorHAnsi" w:hAnsiTheme="minorHAnsi"/>
          <w:sz w:val="25"/>
          <w:szCs w:val="25"/>
        </w:rPr>
        <w:t xml:space="preserve">pravidelností </w:t>
      </w:r>
      <w:r w:rsidR="002F5279">
        <w:rPr>
          <w:rFonts w:asciiTheme="minorHAnsi" w:hAnsiTheme="minorHAnsi"/>
          <w:sz w:val="25"/>
          <w:szCs w:val="25"/>
        </w:rPr>
        <w:t>vypluly v minulosti na povrch</w:t>
      </w:r>
      <w:r w:rsidR="00546996">
        <w:rPr>
          <w:rFonts w:asciiTheme="minorHAnsi" w:hAnsiTheme="minorHAnsi"/>
          <w:sz w:val="25"/>
          <w:szCs w:val="25"/>
        </w:rPr>
        <w:t xml:space="preserve"> další </w:t>
      </w:r>
      <w:r w:rsidR="002F5279">
        <w:rPr>
          <w:rFonts w:asciiTheme="minorHAnsi" w:hAnsiTheme="minorHAnsi"/>
          <w:sz w:val="25"/>
          <w:szCs w:val="25"/>
        </w:rPr>
        <w:t>kauzy obludných rozměrů</w:t>
      </w:r>
      <w:r w:rsidR="00546996">
        <w:rPr>
          <w:rFonts w:asciiTheme="minorHAnsi" w:hAnsiTheme="minorHAnsi"/>
          <w:sz w:val="25"/>
          <w:szCs w:val="25"/>
        </w:rPr>
        <w:t xml:space="preserve">, </w:t>
      </w:r>
      <w:r w:rsidR="002F5279">
        <w:rPr>
          <w:rFonts w:asciiTheme="minorHAnsi" w:hAnsiTheme="minorHAnsi"/>
          <w:sz w:val="25"/>
          <w:szCs w:val="25"/>
        </w:rPr>
        <w:t>jejichž závažnost je neoddiskutovatelná</w:t>
      </w:r>
      <w:r w:rsidR="00546996">
        <w:rPr>
          <w:rFonts w:asciiTheme="minorHAnsi" w:hAnsiTheme="minorHAnsi"/>
          <w:sz w:val="25"/>
          <w:szCs w:val="25"/>
        </w:rPr>
        <w:t xml:space="preserve">. </w:t>
      </w:r>
      <w:r w:rsidR="0072353B">
        <w:rPr>
          <w:rFonts w:asciiTheme="minorHAnsi" w:hAnsiTheme="minorHAnsi"/>
          <w:sz w:val="25"/>
          <w:szCs w:val="25"/>
        </w:rPr>
        <w:t xml:space="preserve">Ať už </w:t>
      </w:r>
      <w:r w:rsidR="00546996">
        <w:rPr>
          <w:rFonts w:asciiTheme="minorHAnsi" w:hAnsiTheme="minorHAnsi"/>
          <w:sz w:val="25"/>
          <w:szCs w:val="25"/>
        </w:rPr>
        <w:t>afér</w:t>
      </w:r>
      <w:r w:rsidR="0072353B">
        <w:rPr>
          <w:rFonts w:asciiTheme="minorHAnsi" w:hAnsiTheme="minorHAnsi"/>
          <w:sz w:val="25"/>
          <w:szCs w:val="25"/>
        </w:rPr>
        <w:t>a</w:t>
      </w:r>
      <w:r w:rsidR="00546996">
        <w:rPr>
          <w:rFonts w:asciiTheme="minorHAnsi" w:hAnsiTheme="minorHAnsi"/>
          <w:sz w:val="25"/>
          <w:szCs w:val="25"/>
        </w:rPr>
        <w:t xml:space="preserve"> </w:t>
      </w:r>
      <w:hyperlink r:id="rId14" w:history="1">
        <w:r w:rsidR="00546996" w:rsidRPr="0069218F">
          <w:rPr>
            <w:rStyle w:val="Hypertextovodkaz"/>
            <w:rFonts w:asciiTheme="minorHAnsi" w:hAnsiTheme="minorHAnsi"/>
            <w:color w:val="0070C0"/>
            <w:sz w:val="25"/>
            <w:szCs w:val="25"/>
          </w:rPr>
          <w:t>Lux</w:t>
        </w:r>
        <w:r w:rsidR="004264D5" w:rsidRPr="0069218F">
          <w:rPr>
            <w:rStyle w:val="Hypertextovodkaz"/>
            <w:rFonts w:asciiTheme="minorHAnsi" w:hAnsiTheme="minorHAnsi"/>
            <w:color w:val="0070C0"/>
            <w:sz w:val="25"/>
            <w:szCs w:val="25"/>
          </w:rPr>
          <w:t xml:space="preserve"> </w:t>
        </w:r>
        <w:r w:rsidR="00546996" w:rsidRPr="0069218F">
          <w:rPr>
            <w:rStyle w:val="Hypertextovodkaz"/>
            <w:rFonts w:asciiTheme="minorHAnsi" w:hAnsiTheme="minorHAnsi"/>
            <w:color w:val="0070C0"/>
            <w:sz w:val="25"/>
            <w:szCs w:val="25"/>
          </w:rPr>
          <w:t>Leaks</w:t>
        </w:r>
      </w:hyperlink>
      <w:r w:rsidR="00546996">
        <w:rPr>
          <w:rFonts w:asciiTheme="minorHAnsi" w:hAnsiTheme="minorHAnsi"/>
          <w:sz w:val="25"/>
          <w:szCs w:val="25"/>
        </w:rPr>
        <w:t xml:space="preserve">, donedávna tajný daňový </w:t>
      </w:r>
      <w:r w:rsidR="0072353B">
        <w:rPr>
          <w:rFonts w:asciiTheme="minorHAnsi" w:hAnsiTheme="minorHAnsi"/>
          <w:sz w:val="25"/>
          <w:szCs w:val="25"/>
        </w:rPr>
        <w:t>ráj</w:t>
      </w:r>
      <w:r w:rsidR="00546996">
        <w:rPr>
          <w:rFonts w:asciiTheme="minorHAnsi" w:hAnsiTheme="minorHAnsi"/>
          <w:sz w:val="25"/>
          <w:szCs w:val="25"/>
        </w:rPr>
        <w:t xml:space="preserve"> uprostřed Evropy, nebo kauzu </w:t>
      </w:r>
      <w:hyperlink r:id="rId15" w:history="1">
        <w:r w:rsidR="00546996" w:rsidRPr="0069218F">
          <w:rPr>
            <w:rStyle w:val="Hypertextovodkaz"/>
            <w:rFonts w:asciiTheme="minorHAnsi" w:hAnsiTheme="minorHAnsi"/>
            <w:color w:val="0070C0"/>
            <w:sz w:val="25"/>
            <w:szCs w:val="25"/>
          </w:rPr>
          <w:t>Swiss</w:t>
        </w:r>
        <w:r w:rsidR="004264D5" w:rsidRPr="0069218F">
          <w:rPr>
            <w:rStyle w:val="Hypertextovodkaz"/>
            <w:rFonts w:asciiTheme="minorHAnsi" w:hAnsiTheme="minorHAnsi"/>
            <w:color w:val="0070C0"/>
            <w:sz w:val="25"/>
            <w:szCs w:val="25"/>
          </w:rPr>
          <w:t xml:space="preserve"> </w:t>
        </w:r>
        <w:r w:rsidR="00546996" w:rsidRPr="0069218F">
          <w:rPr>
            <w:rStyle w:val="Hypertextovodkaz"/>
            <w:rFonts w:asciiTheme="minorHAnsi" w:hAnsiTheme="minorHAnsi"/>
            <w:color w:val="0070C0"/>
            <w:sz w:val="25"/>
            <w:szCs w:val="25"/>
          </w:rPr>
          <w:t>Leaks</w:t>
        </w:r>
      </w:hyperlink>
      <w:r w:rsidR="00546996">
        <w:rPr>
          <w:rFonts w:asciiTheme="minorHAnsi" w:hAnsiTheme="minorHAnsi"/>
          <w:sz w:val="25"/>
          <w:szCs w:val="25"/>
        </w:rPr>
        <w:t xml:space="preserve">, obří </w:t>
      </w:r>
      <w:r w:rsidR="0072353B">
        <w:rPr>
          <w:rFonts w:asciiTheme="minorHAnsi" w:hAnsiTheme="minorHAnsi"/>
          <w:sz w:val="25"/>
          <w:szCs w:val="25"/>
        </w:rPr>
        <w:t xml:space="preserve">daňové </w:t>
      </w:r>
      <w:r w:rsidR="00546996">
        <w:rPr>
          <w:rFonts w:asciiTheme="minorHAnsi" w:hAnsiTheme="minorHAnsi"/>
          <w:sz w:val="25"/>
          <w:szCs w:val="25"/>
        </w:rPr>
        <w:t xml:space="preserve">machinace </w:t>
      </w:r>
      <w:r w:rsidR="004264D5">
        <w:rPr>
          <w:rFonts w:asciiTheme="minorHAnsi" w:hAnsiTheme="minorHAnsi"/>
          <w:sz w:val="25"/>
          <w:szCs w:val="25"/>
        </w:rPr>
        <w:t xml:space="preserve">v </w:t>
      </w:r>
      <w:r w:rsidR="00546996">
        <w:rPr>
          <w:rFonts w:asciiTheme="minorHAnsi" w:hAnsiTheme="minorHAnsi"/>
          <w:sz w:val="25"/>
          <w:szCs w:val="25"/>
        </w:rPr>
        <w:t xml:space="preserve">HSBC, </w:t>
      </w:r>
      <w:r w:rsidR="0072353B">
        <w:rPr>
          <w:rFonts w:asciiTheme="minorHAnsi" w:hAnsiTheme="minorHAnsi"/>
          <w:sz w:val="25"/>
          <w:szCs w:val="25"/>
        </w:rPr>
        <w:t xml:space="preserve">jedné z největších světových bank. </w:t>
      </w:r>
    </w:p>
    <w:p w:rsidR="006F4FA2" w:rsidRDefault="006F4FA2" w:rsidP="0072353B">
      <w:pPr>
        <w:jc w:val="both"/>
        <w:rPr>
          <w:rFonts w:asciiTheme="minorHAnsi" w:hAnsiTheme="minorHAnsi"/>
          <w:sz w:val="25"/>
          <w:szCs w:val="25"/>
        </w:rPr>
      </w:pPr>
    </w:p>
    <w:p w:rsidR="006F5040" w:rsidRDefault="004264D5" w:rsidP="0072353B">
      <w:pPr>
        <w:jc w:val="both"/>
        <w:rPr>
          <w:rFonts w:asciiTheme="minorHAnsi" w:hAnsiTheme="minorHAnsi"/>
          <w:sz w:val="25"/>
          <w:szCs w:val="25"/>
        </w:rPr>
      </w:pPr>
      <w:r w:rsidRPr="00E21265">
        <w:rPr>
          <w:rFonts w:asciiTheme="minorHAnsi" w:hAnsiTheme="minorHAnsi"/>
          <w:sz w:val="25"/>
          <w:szCs w:val="25"/>
        </w:rPr>
        <w:t>V rámci Evropské unie dochází k</w:t>
      </w:r>
      <w:r w:rsidR="0072353B">
        <w:rPr>
          <w:rFonts w:asciiTheme="minorHAnsi" w:hAnsiTheme="minorHAnsi"/>
          <w:sz w:val="25"/>
          <w:szCs w:val="25"/>
        </w:rPr>
        <w:t> postupným krokům, které by měly</w:t>
      </w:r>
      <w:r w:rsidRPr="00E21265">
        <w:rPr>
          <w:rFonts w:asciiTheme="minorHAnsi" w:hAnsiTheme="minorHAnsi"/>
          <w:sz w:val="25"/>
          <w:szCs w:val="25"/>
        </w:rPr>
        <w:t xml:space="preserve"> pomoci zamezit masivním </w:t>
      </w:r>
      <w:r w:rsidR="0072353B">
        <w:rPr>
          <w:rFonts w:asciiTheme="minorHAnsi" w:hAnsiTheme="minorHAnsi"/>
          <w:sz w:val="25"/>
          <w:szCs w:val="25"/>
        </w:rPr>
        <w:t xml:space="preserve">daňovým únikům korporátních daní. Chystá se směrnice k tzv. </w:t>
      </w:r>
      <w:hyperlink r:id="rId16" w:history="1">
        <w:r w:rsidR="00C72467" w:rsidRPr="0069218F">
          <w:rPr>
            <w:rStyle w:val="Hypertextovodkaz"/>
            <w:rFonts w:asciiTheme="minorHAnsi" w:hAnsiTheme="minorHAnsi"/>
            <w:color w:val="0070C0"/>
            <w:sz w:val="25"/>
            <w:szCs w:val="25"/>
          </w:rPr>
          <w:t>Country by country reporting</w:t>
        </w:r>
      </w:hyperlink>
      <w:r w:rsidR="00C72467" w:rsidRPr="0069218F">
        <w:rPr>
          <w:rFonts w:asciiTheme="minorHAnsi" w:hAnsiTheme="minorHAnsi"/>
          <w:color w:val="0070C0"/>
          <w:sz w:val="25"/>
          <w:szCs w:val="25"/>
        </w:rPr>
        <w:t xml:space="preserve"> </w:t>
      </w:r>
      <w:r w:rsidR="00C72467" w:rsidRPr="00E21265">
        <w:rPr>
          <w:rFonts w:asciiTheme="minorHAnsi" w:hAnsiTheme="minorHAnsi"/>
          <w:sz w:val="25"/>
          <w:szCs w:val="25"/>
        </w:rPr>
        <w:t>(„podávání zpráv po jednotlivých zemích“), která bude vyžadovat po nadnárodních společnostech reportování o jejich mezinárodních finančních tocích plynoucích mimo jiné z mateřských společností do dceřiných a obráceně.</w:t>
      </w:r>
    </w:p>
    <w:p w:rsidR="006305A6" w:rsidRDefault="006305A6" w:rsidP="0072353B">
      <w:pPr>
        <w:jc w:val="both"/>
        <w:rPr>
          <w:rFonts w:asciiTheme="minorHAnsi" w:hAnsiTheme="minorHAnsi"/>
          <w:sz w:val="25"/>
          <w:szCs w:val="25"/>
        </w:rPr>
      </w:pPr>
    </w:p>
    <w:p w:rsidR="006305A6" w:rsidRDefault="006305A6" w:rsidP="0072353B">
      <w:pPr>
        <w:jc w:val="both"/>
        <w:rPr>
          <w:rFonts w:asciiTheme="minorHAnsi" w:hAnsiTheme="minorHAnsi"/>
          <w:sz w:val="25"/>
          <w:szCs w:val="25"/>
        </w:rPr>
      </w:pPr>
    </w:p>
    <w:p w:rsidR="006305A6" w:rsidRPr="006305A6" w:rsidRDefault="006305A6" w:rsidP="0072353B">
      <w:pPr>
        <w:jc w:val="both"/>
        <w:rPr>
          <w:rFonts w:asciiTheme="minorHAnsi" w:hAnsiTheme="minorHAnsi"/>
          <w:b/>
          <w:sz w:val="25"/>
          <w:szCs w:val="25"/>
          <w:u w:val="single"/>
        </w:rPr>
      </w:pPr>
      <w:r w:rsidRPr="006305A6">
        <w:rPr>
          <w:rFonts w:asciiTheme="minorHAnsi" w:hAnsiTheme="minorHAnsi"/>
          <w:b/>
          <w:sz w:val="25"/>
          <w:szCs w:val="25"/>
          <w:u w:val="single"/>
        </w:rPr>
        <w:t>Kontakt pro média:</w:t>
      </w:r>
    </w:p>
    <w:p w:rsidR="006305A6" w:rsidRDefault="006305A6" w:rsidP="0072353B">
      <w:pPr>
        <w:jc w:val="both"/>
        <w:rPr>
          <w:rFonts w:asciiTheme="minorHAnsi" w:hAnsiTheme="minorHAnsi"/>
          <w:sz w:val="25"/>
          <w:szCs w:val="25"/>
        </w:rPr>
      </w:pPr>
    </w:p>
    <w:p w:rsidR="006305A6" w:rsidRPr="006305A6" w:rsidRDefault="0051550E" w:rsidP="0072353B">
      <w:pPr>
        <w:jc w:val="both"/>
        <w:rPr>
          <w:rFonts w:asciiTheme="minorHAnsi" w:hAnsiTheme="minorHAnsi"/>
          <w:b/>
          <w:color w:val="0070C0"/>
          <w:sz w:val="25"/>
          <w:szCs w:val="25"/>
        </w:rPr>
      </w:pPr>
      <w:hyperlink r:id="rId17" w:history="1">
        <w:r w:rsidR="006305A6" w:rsidRPr="006305A6">
          <w:rPr>
            <w:rStyle w:val="Hypertextovodkaz"/>
            <w:rFonts w:asciiTheme="minorHAnsi" w:hAnsiTheme="minorHAnsi"/>
            <w:b/>
            <w:color w:val="0070C0"/>
            <w:sz w:val="25"/>
            <w:szCs w:val="25"/>
          </w:rPr>
          <w:t>David Ondráčka</w:t>
        </w:r>
      </w:hyperlink>
    </w:p>
    <w:p w:rsidR="006305A6" w:rsidRDefault="006305A6" w:rsidP="0072353B">
      <w:pPr>
        <w:jc w:val="both"/>
        <w:rPr>
          <w:rFonts w:asciiTheme="minorHAnsi" w:hAnsiTheme="minorHAnsi"/>
          <w:sz w:val="25"/>
          <w:szCs w:val="25"/>
        </w:rPr>
      </w:pPr>
      <w:r>
        <w:rPr>
          <w:rFonts w:asciiTheme="minorHAnsi" w:hAnsiTheme="minorHAnsi"/>
          <w:sz w:val="25"/>
          <w:szCs w:val="25"/>
        </w:rPr>
        <w:t>Ředitel Transparency International Česká republika</w:t>
      </w:r>
    </w:p>
    <w:p w:rsidR="006305A6" w:rsidRDefault="006305A6" w:rsidP="0072353B">
      <w:pPr>
        <w:jc w:val="both"/>
        <w:rPr>
          <w:rFonts w:asciiTheme="minorHAnsi" w:hAnsiTheme="minorHAnsi"/>
          <w:sz w:val="25"/>
          <w:szCs w:val="25"/>
        </w:rPr>
      </w:pPr>
      <w:r>
        <w:rPr>
          <w:rFonts w:asciiTheme="minorHAnsi" w:hAnsiTheme="minorHAnsi"/>
          <w:sz w:val="25"/>
          <w:szCs w:val="25"/>
        </w:rPr>
        <w:t xml:space="preserve">E-mail: </w:t>
      </w:r>
      <w:hyperlink r:id="rId18" w:history="1">
        <w:r w:rsidRPr="006305A6">
          <w:rPr>
            <w:rStyle w:val="Hypertextovodkaz"/>
            <w:rFonts w:asciiTheme="minorHAnsi" w:hAnsiTheme="minorHAnsi"/>
            <w:color w:val="0070C0"/>
            <w:sz w:val="25"/>
            <w:szCs w:val="25"/>
          </w:rPr>
          <w:t>ondracka@transparency.cz</w:t>
        </w:r>
      </w:hyperlink>
    </w:p>
    <w:p w:rsidR="006305A6" w:rsidRDefault="006305A6" w:rsidP="0072353B">
      <w:pPr>
        <w:jc w:val="both"/>
        <w:rPr>
          <w:rFonts w:asciiTheme="minorHAnsi" w:hAnsiTheme="minorHAnsi"/>
          <w:sz w:val="25"/>
          <w:szCs w:val="25"/>
        </w:rPr>
      </w:pPr>
      <w:r>
        <w:rPr>
          <w:rFonts w:asciiTheme="minorHAnsi" w:hAnsiTheme="minorHAnsi"/>
          <w:sz w:val="25"/>
          <w:szCs w:val="25"/>
        </w:rPr>
        <w:t>Mobil: +420 605 814 786</w:t>
      </w:r>
    </w:p>
    <w:sectPr w:rsidR="006305A6">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93D" w:rsidRDefault="0077693D" w:rsidP="00A53006">
      <w:r>
        <w:separator/>
      </w:r>
    </w:p>
  </w:endnote>
  <w:endnote w:type="continuationSeparator" w:id="0">
    <w:p w:rsidR="0077693D" w:rsidRDefault="0077693D" w:rsidP="00A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swald">
    <w:altName w:val="Cambria Math"/>
    <w:panose1 w:val="02000303000000000000"/>
    <w:charset w:val="EE"/>
    <w:family w:val="auto"/>
    <w:pitch w:val="variable"/>
    <w:sig w:usb0="A00000EF" w:usb1="4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sz w:val="16"/>
        <w:szCs w:val="16"/>
      </w:rPr>
      <w:id w:val="92605450"/>
      <w:docPartObj>
        <w:docPartGallery w:val="Page Numbers (Bottom of Page)"/>
        <w:docPartUnique/>
      </w:docPartObj>
    </w:sdtPr>
    <w:sdtEndPr>
      <w:rPr>
        <w:rFonts w:ascii="Oswald" w:hAnsi="Oswald"/>
        <w:color w:val="808080" w:themeColor="background1" w:themeShade="80"/>
      </w:rPr>
    </w:sdtEndPr>
    <w:sdtContent>
      <w:sdt>
        <w:sdtPr>
          <w:rPr>
            <w:rFonts w:ascii="Oswald" w:hAnsi="Oswald"/>
            <w:color w:val="808080" w:themeColor="background1" w:themeShade="80"/>
            <w:sz w:val="20"/>
            <w:szCs w:val="20"/>
          </w:rPr>
          <w:id w:val="860082579"/>
          <w:docPartObj>
            <w:docPartGallery w:val="Page Numbers (Top of Page)"/>
            <w:docPartUnique/>
          </w:docPartObj>
        </w:sdtPr>
        <w:sdtEndPr>
          <w:rPr>
            <w:sz w:val="16"/>
            <w:szCs w:val="16"/>
          </w:rPr>
        </w:sdtEndPr>
        <w:sdtContent>
          <w:p w:rsidR="00A53006" w:rsidRPr="00786744" w:rsidRDefault="00A53006" w:rsidP="002E4134">
            <w:pPr>
              <w:pStyle w:val="Zpat"/>
              <w:jc w:val="right"/>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Stránka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PAGE</w:instrText>
            </w:r>
            <w:r w:rsidRPr="00786744">
              <w:rPr>
                <w:rFonts w:ascii="Oswald" w:hAnsi="Oswald"/>
                <w:bCs/>
                <w:color w:val="808080" w:themeColor="background1" w:themeShade="80"/>
                <w:sz w:val="16"/>
                <w:szCs w:val="16"/>
              </w:rPr>
              <w:fldChar w:fldCharType="separate"/>
            </w:r>
            <w:r w:rsidR="0051550E">
              <w:rPr>
                <w:rFonts w:ascii="Oswald" w:hAnsi="Oswald"/>
                <w:bCs/>
                <w:noProof/>
                <w:color w:val="808080" w:themeColor="background1" w:themeShade="80"/>
                <w:sz w:val="16"/>
                <w:szCs w:val="16"/>
              </w:rPr>
              <w:t>2</w:t>
            </w:r>
            <w:r w:rsidRPr="00786744">
              <w:rPr>
                <w:rFonts w:ascii="Oswald" w:hAnsi="Oswald"/>
                <w:bCs/>
                <w:color w:val="808080" w:themeColor="background1" w:themeShade="80"/>
                <w:sz w:val="16"/>
                <w:szCs w:val="16"/>
              </w:rPr>
              <w:fldChar w:fldCharType="end"/>
            </w:r>
            <w:r w:rsidRPr="00786744">
              <w:rPr>
                <w:rFonts w:ascii="Oswald" w:hAnsi="Oswald"/>
                <w:color w:val="808080" w:themeColor="background1" w:themeShade="80"/>
                <w:sz w:val="16"/>
                <w:szCs w:val="16"/>
              </w:rPr>
              <w:t xml:space="preserve"> z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NUMPAGES</w:instrText>
            </w:r>
            <w:r w:rsidRPr="00786744">
              <w:rPr>
                <w:rFonts w:ascii="Oswald" w:hAnsi="Oswald"/>
                <w:bCs/>
                <w:color w:val="808080" w:themeColor="background1" w:themeShade="80"/>
                <w:sz w:val="16"/>
                <w:szCs w:val="16"/>
              </w:rPr>
              <w:fldChar w:fldCharType="separate"/>
            </w:r>
            <w:r w:rsidR="0051550E">
              <w:rPr>
                <w:rFonts w:ascii="Oswald" w:hAnsi="Oswald"/>
                <w:bCs/>
                <w:noProof/>
                <w:color w:val="808080" w:themeColor="background1" w:themeShade="80"/>
                <w:sz w:val="16"/>
                <w:szCs w:val="16"/>
              </w:rPr>
              <w:t>3</w:t>
            </w:r>
            <w:r w:rsidRPr="00786744">
              <w:rPr>
                <w:rFonts w:ascii="Oswald" w:hAnsi="Oswald"/>
                <w:bCs/>
                <w:color w:val="808080" w:themeColor="background1" w:themeShade="80"/>
                <w:sz w:val="16"/>
                <w:szCs w:val="16"/>
              </w:rPr>
              <w:fldChar w:fldCharType="end"/>
            </w:r>
          </w:p>
        </w:sdtContent>
      </w:sdt>
    </w:sdtContent>
  </w:sdt>
  <w:p w:rsidR="00A53006" w:rsidRPr="00786744" w:rsidRDefault="00A53006" w:rsidP="00A53006">
    <w:pPr>
      <w:pStyle w:val="Zpat"/>
      <w:jc w:val="center"/>
      <w:rPr>
        <w:rFonts w:ascii="Oswald" w:hAnsi="Oswald"/>
        <w:color w:val="808080" w:themeColor="background1" w:themeShade="80"/>
        <w:sz w:val="16"/>
        <w:szCs w:val="16"/>
      </w:rPr>
    </w:pPr>
  </w:p>
  <w:p w:rsidR="00A53006" w:rsidRPr="00786744" w:rsidRDefault="002E4134"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Transparency International </w:t>
    </w:r>
    <w:r w:rsidR="00C23101"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Česká republika, o. p. s. | Sokolovská 260/143, 180 00 Praha 8, Česká republika | </w:t>
    </w:r>
  </w:p>
  <w:p w:rsidR="00A53006" w:rsidRPr="00786744" w:rsidRDefault="00A53006"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Tel: +420 224 240 895-7 | posta@transparency.cz | www.transparency.cz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93D" w:rsidRDefault="0077693D" w:rsidP="00A53006">
      <w:r>
        <w:separator/>
      </w:r>
    </w:p>
  </w:footnote>
  <w:footnote w:type="continuationSeparator" w:id="0">
    <w:p w:rsidR="0077693D" w:rsidRDefault="0077693D" w:rsidP="00A5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06" w:rsidRDefault="00A53006" w:rsidP="00A53006">
    <w:pPr>
      <w:pStyle w:val="Zhlav"/>
      <w:tabs>
        <w:tab w:val="clear" w:pos="4536"/>
        <w:tab w:val="clear" w:pos="9072"/>
        <w:tab w:val="left" w:pos="4020"/>
      </w:tabs>
    </w:pPr>
    <w:r>
      <w:rPr>
        <w:noProof/>
        <w:lang w:eastAsia="cs-CZ"/>
      </w:rPr>
      <w:drawing>
        <wp:anchor distT="0" distB="0" distL="114300" distR="114300" simplePos="0" relativeHeight="251658240" behindDoc="1" locked="0" layoutInCell="1" allowOverlap="1" wp14:anchorId="2D730FC9" wp14:editId="32315FA5">
          <wp:simplePos x="0" y="0"/>
          <wp:positionH relativeFrom="column">
            <wp:posOffset>-52070</wp:posOffset>
          </wp:positionH>
          <wp:positionV relativeFrom="paragraph">
            <wp:posOffset>7620</wp:posOffset>
          </wp:positionV>
          <wp:extent cx="1962150" cy="285750"/>
          <wp:effectExtent l="0" t="0" r="0" b="0"/>
          <wp:wrapTight wrapText="bothSides">
            <wp:wrapPolygon edited="0">
              <wp:start x="0" y="0"/>
              <wp:lineTo x="0" y="20160"/>
              <wp:lineTo x="21390" y="20160"/>
              <wp:lineTo x="2139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I Č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285750"/>
                  </a:xfrm>
                  <a:prstGeom prst="rect">
                    <a:avLst/>
                  </a:prstGeom>
                </pic:spPr>
              </pic:pic>
            </a:graphicData>
          </a:graphic>
          <wp14:sizeRelH relativeFrom="page">
            <wp14:pctWidth>0</wp14:pctWidth>
          </wp14:sizeRelH>
          <wp14:sizeRelV relativeFrom="page">
            <wp14:pctHeight>0</wp14:pctHeight>
          </wp14:sizeRelV>
        </wp:anchor>
      </w:drawing>
    </w:r>
    <w:r>
      <w:tab/>
    </w:r>
  </w:p>
  <w:p w:rsidR="00A53006" w:rsidRDefault="00A53006" w:rsidP="00A53006">
    <w:pPr>
      <w:pStyle w:val="Zhlav"/>
      <w:tabs>
        <w:tab w:val="clear" w:pos="4536"/>
        <w:tab w:val="clear" w:pos="9072"/>
        <w:tab w:val="left" w:pos="4020"/>
      </w:tabs>
    </w:pPr>
  </w:p>
  <w:p w:rsidR="00A53006" w:rsidRPr="002E4134" w:rsidRDefault="006538FF" w:rsidP="00A53006">
    <w:pPr>
      <w:pStyle w:val="Zhlav"/>
      <w:tabs>
        <w:tab w:val="clear" w:pos="4536"/>
        <w:tab w:val="clear" w:pos="9072"/>
        <w:tab w:val="left" w:pos="4020"/>
      </w:tabs>
      <w:rPr>
        <w:rFonts w:ascii="Oswald" w:hAnsi="Oswald"/>
        <w:i/>
        <w:color w:val="0065B3"/>
        <w:sz w:val="20"/>
        <w:szCs w:val="20"/>
      </w:rPr>
    </w:pPr>
    <w:r>
      <w:rPr>
        <w:rFonts w:ascii="Oswald" w:hAnsi="Oswald"/>
        <w:i/>
        <w:color w:val="0065B3"/>
        <w:sz w:val="20"/>
        <w:szCs w:val="20"/>
      </w:rPr>
      <w:t>„</w:t>
    </w:r>
    <w:r w:rsidR="00A53006" w:rsidRPr="002E4134">
      <w:rPr>
        <w:rFonts w:ascii="Oswald" w:hAnsi="Oswald"/>
        <w:i/>
        <w:color w:val="0065B3"/>
        <w:sz w:val="20"/>
        <w:szCs w:val="20"/>
      </w:rPr>
      <w:t>Hlídáme veřejný zájem, hájíme efektivní a odpovědnou správu země.</w:t>
    </w:r>
    <w:r>
      <w:rPr>
        <w:rFonts w:ascii="Oswald" w:hAnsi="Oswald"/>
        <w:i/>
        <w:color w:val="0065B3"/>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05EBC"/>
    <w:multiLevelType w:val="hybridMultilevel"/>
    <w:tmpl w:val="F7BEDC34"/>
    <w:lvl w:ilvl="0" w:tplc="A964DC0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06"/>
    <w:rsid w:val="00026D61"/>
    <w:rsid w:val="000911EA"/>
    <w:rsid w:val="001373C6"/>
    <w:rsid w:val="001B71D2"/>
    <w:rsid w:val="002A412E"/>
    <w:rsid w:val="002E4134"/>
    <w:rsid w:val="002F5279"/>
    <w:rsid w:val="004264D5"/>
    <w:rsid w:val="00445F84"/>
    <w:rsid w:val="0051550E"/>
    <w:rsid w:val="00546996"/>
    <w:rsid w:val="00585C70"/>
    <w:rsid w:val="00590AF9"/>
    <w:rsid w:val="006305A6"/>
    <w:rsid w:val="006538FF"/>
    <w:rsid w:val="0066337A"/>
    <w:rsid w:val="0069218F"/>
    <w:rsid w:val="006C1ACC"/>
    <w:rsid w:val="006F4FA2"/>
    <w:rsid w:val="006F5040"/>
    <w:rsid w:val="0072353B"/>
    <w:rsid w:val="007457A9"/>
    <w:rsid w:val="0077693D"/>
    <w:rsid w:val="00786744"/>
    <w:rsid w:val="007B7EFD"/>
    <w:rsid w:val="007C6326"/>
    <w:rsid w:val="00817E07"/>
    <w:rsid w:val="00844FEC"/>
    <w:rsid w:val="008A1978"/>
    <w:rsid w:val="00960D2E"/>
    <w:rsid w:val="00966C16"/>
    <w:rsid w:val="00A128BA"/>
    <w:rsid w:val="00A53006"/>
    <w:rsid w:val="00A66BC9"/>
    <w:rsid w:val="00B15EE3"/>
    <w:rsid w:val="00B160FB"/>
    <w:rsid w:val="00BD76D9"/>
    <w:rsid w:val="00C23101"/>
    <w:rsid w:val="00C72467"/>
    <w:rsid w:val="00C8793C"/>
    <w:rsid w:val="00CA72FB"/>
    <w:rsid w:val="00CC0572"/>
    <w:rsid w:val="00CE17EF"/>
    <w:rsid w:val="00D80C61"/>
    <w:rsid w:val="00D8633C"/>
    <w:rsid w:val="00DA0B50"/>
    <w:rsid w:val="00E07846"/>
    <w:rsid w:val="00E1231F"/>
    <w:rsid w:val="00E21265"/>
    <w:rsid w:val="00E3338E"/>
    <w:rsid w:val="00F42505"/>
    <w:rsid w:val="00F5080A"/>
    <w:rsid w:val="00FB4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parency.cz/panamaleaks-aneb-nakouknuti-pod-poklicku-danovych-raju/" TargetMode="External"/><Relationship Id="rId18" Type="http://schemas.openxmlformats.org/officeDocument/2006/relationships/hyperlink" Target="mailto:ondracka@transparency.cz"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axparency.eu/" TargetMode="External"/><Relationship Id="rId17" Type="http://schemas.openxmlformats.org/officeDocument/2006/relationships/hyperlink" Target="https://www.transparency.cz/david-ondracka/" TargetMode="External"/><Relationship Id="rId2" Type="http://schemas.openxmlformats.org/officeDocument/2006/relationships/styles" Target="styles.xml"/><Relationship Id="rId16" Type="http://schemas.openxmlformats.org/officeDocument/2006/relationships/hyperlink" Target="https://www.transparency.cz/ti-glopolis-a-dalsi-evropske-organizace-odeslali-otevreny-dopis-andreji-babisovi-k-cbc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ransparency.cz/ceske-offshore-pristavy-anonymni-firmy-maji-v-cesku-sve-oblibene-adresy/" TargetMode="External"/><Relationship Id="rId5" Type="http://schemas.openxmlformats.org/officeDocument/2006/relationships/webSettings" Target="webSettings.xml"/><Relationship Id="rId15" Type="http://schemas.openxmlformats.org/officeDocument/2006/relationships/hyperlink" Target="https://www.transparency.cz/hsbc-swiss-leaks-100-miliard-dolaru-vyvedeno-do-danovych-raju/" TargetMode="External"/><Relationship Id="rId10" Type="http://schemas.openxmlformats.org/officeDocument/2006/relationships/hyperlink" Target="https://www.transparency.cz/nejmene-244-mld-kc-z-verejnych-prostredku-proteklo-do-firem-z-danovych-raj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ansparency.cz/nejmene-153-mld-kc-verejnych-prostredku-proteklo-firem-danov/" TargetMode="External"/><Relationship Id="rId14" Type="http://schemas.openxmlformats.org/officeDocument/2006/relationships/hyperlink" Target="https://www.transparency.cz/dnes-ubehlo-presne-366-dni-od-afery-luxleaks-pojdme-si-pripomenout-kdo-je-to-antoine-deltou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781</Words>
  <Characters>4609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Transparency International ČR</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Kotora</dc:creator>
  <cp:lastModifiedBy>David Kotora</cp:lastModifiedBy>
  <cp:revision>15</cp:revision>
  <cp:lastPrinted>2016-04-20T12:00:00Z</cp:lastPrinted>
  <dcterms:created xsi:type="dcterms:W3CDTF">2016-04-20T12:40:00Z</dcterms:created>
  <dcterms:modified xsi:type="dcterms:W3CDTF">2016-04-20T13:41:00Z</dcterms:modified>
</cp:coreProperties>
</file>