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0" w:rsidRPr="00A06206" w:rsidRDefault="00DA54D0" w:rsidP="00DA54D0">
      <w:pPr>
        <w:rPr>
          <w:rFonts w:asciiTheme="minorHAnsi" w:hAnsiTheme="minorHAnsi"/>
          <w:b/>
          <w:sz w:val="22"/>
        </w:rPr>
      </w:pPr>
      <w:r w:rsidRPr="00A06206">
        <w:rPr>
          <w:rFonts w:asciiTheme="minorHAnsi" w:hAnsiTheme="minorHAnsi"/>
          <w:b/>
          <w:sz w:val="22"/>
        </w:rPr>
        <w:t xml:space="preserve">TISKOVÁ ZPRÁVA TI </w:t>
      </w:r>
    </w:p>
    <w:p w:rsidR="00DA54D0" w:rsidRPr="00A06206" w:rsidRDefault="00DA54D0" w:rsidP="00DA54D0">
      <w:pPr>
        <w:pBdr>
          <w:bottom w:val="single" w:sz="4" w:space="3" w:color="4F81BD" w:themeColor="accent1"/>
        </w:pBdr>
        <w:spacing w:before="200" w:after="280"/>
        <w:ind w:right="26"/>
        <w:jc w:val="both"/>
        <w:rPr>
          <w:rFonts w:asciiTheme="minorHAnsi" w:eastAsia="Calibri" w:hAnsiTheme="minorHAnsi"/>
          <w:b/>
          <w:bCs/>
          <w:i/>
          <w:iCs/>
          <w:color w:val="0065B3"/>
          <w:sz w:val="28"/>
          <w:szCs w:val="28"/>
        </w:rPr>
      </w:pPr>
      <w:r w:rsidRPr="00A06206">
        <w:rPr>
          <w:rFonts w:asciiTheme="minorHAnsi" w:eastAsia="Calibri" w:hAnsiTheme="minorHAnsi"/>
          <w:b/>
          <w:bCs/>
          <w:i/>
          <w:iCs/>
          <w:color w:val="0065B3"/>
          <w:sz w:val="28"/>
          <w:szCs w:val="28"/>
        </w:rPr>
        <w:t>„Transparentní financování sportu“</w:t>
      </w:r>
    </w:p>
    <w:p w:rsidR="00DA54D0" w:rsidRPr="00A06206" w:rsidRDefault="00DA54D0" w:rsidP="00656E55">
      <w:pPr>
        <w:pBdr>
          <w:bottom w:val="single" w:sz="4" w:space="3" w:color="4F81BD" w:themeColor="accent1"/>
        </w:pBdr>
        <w:spacing w:before="200" w:after="280"/>
        <w:ind w:right="26"/>
        <w:jc w:val="both"/>
        <w:rPr>
          <w:rFonts w:asciiTheme="minorHAnsi" w:eastAsia="Calibri" w:hAnsiTheme="minorHAnsi"/>
          <w:b/>
          <w:bCs/>
          <w:i/>
          <w:iCs/>
          <w:color w:val="0065B3"/>
          <w:sz w:val="28"/>
          <w:szCs w:val="28"/>
        </w:rPr>
      </w:pPr>
      <w:r w:rsidRPr="00A06206">
        <w:rPr>
          <w:rFonts w:asciiTheme="minorHAnsi" w:eastAsia="Calibri" w:hAnsiTheme="minorHAnsi"/>
          <w:b/>
          <w:bCs/>
          <w:i/>
          <w:iCs/>
          <w:color w:val="0065B3"/>
          <w:sz w:val="28"/>
          <w:szCs w:val="28"/>
        </w:rPr>
        <w:t>Korupce a integrita ve sportu se stala významným problémem na celém světě a Globální zpráva o korupci Transparency International se proto na sport letos zaměřila. Jaká jsou hlavní rizika korupce ve sportu a jak si stojí Česká republika?</w:t>
      </w:r>
    </w:p>
    <w:p w:rsidR="00DA54D0" w:rsidRPr="00A06206" w:rsidRDefault="00DA54D0" w:rsidP="00DA54D0">
      <w:pPr>
        <w:jc w:val="both"/>
        <w:rPr>
          <w:rFonts w:asciiTheme="minorHAnsi" w:hAnsiTheme="minorHAnsi"/>
          <w:b/>
          <w:szCs w:val="22"/>
        </w:rPr>
      </w:pPr>
      <w:r w:rsidRPr="00A06206">
        <w:rPr>
          <w:rFonts w:asciiTheme="minorHAnsi" w:hAnsiTheme="minorHAnsi"/>
          <w:b/>
          <w:szCs w:val="22"/>
        </w:rPr>
        <w:t>Praha 22. března 2016 - Globální zpráva o korupci ve sp</w:t>
      </w:r>
      <w:r w:rsidR="008B07B5">
        <w:rPr>
          <w:rFonts w:asciiTheme="minorHAnsi" w:hAnsiTheme="minorHAnsi"/>
          <w:b/>
          <w:szCs w:val="22"/>
        </w:rPr>
        <w:t xml:space="preserve">ortu Transparency International </w:t>
      </w:r>
      <w:r w:rsidRPr="00A06206">
        <w:rPr>
          <w:rFonts w:asciiTheme="minorHAnsi" w:hAnsiTheme="minorHAnsi"/>
          <w:b/>
          <w:szCs w:val="22"/>
        </w:rPr>
        <w:t>identifikovala hlavní okruhy korupčních rizik ve sportu – pořádání velkých soutěží, uzavřenost a netransparentnost národních i mezinárodních sportovních orgánů, sázkové podvody, nakládání s prostředky z marketingu a z transferu hráčů a veřejné prostředky ve sportu.</w:t>
      </w:r>
    </w:p>
    <w:p w:rsidR="00DA54D0" w:rsidRPr="00A06206" w:rsidRDefault="00DA54D0" w:rsidP="00DA54D0">
      <w:pPr>
        <w:jc w:val="both"/>
        <w:rPr>
          <w:rFonts w:asciiTheme="minorHAnsi" w:hAnsiTheme="minorHAnsi"/>
          <w:b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Tato rizika a četné kauzy vedou ke ztrátě důvěry ve sportovní organizace. Transparency International</w:t>
      </w:r>
      <w:r w:rsidR="008B07B5">
        <w:rPr>
          <w:rFonts w:asciiTheme="minorHAnsi" w:hAnsiTheme="minorHAnsi"/>
          <w:szCs w:val="22"/>
        </w:rPr>
        <w:t xml:space="preserve"> (TI)</w:t>
      </w:r>
      <w:r w:rsidRPr="00A06206">
        <w:rPr>
          <w:rFonts w:asciiTheme="minorHAnsi" w:hAnsiTheme="minorHAnsi"/>
          <w:szCs w:val="22"/>
        </w:rPr>
        <w:t xml:space="preserve"> připravila seznam doporučení, která by tento stav nedůvěry mohla zvrátit: </w:t>
      </w:r>
    </w:p>
    <w:p w:rsidR="00DA54D0" w:rsidRPr="00A06206" w:rsidRDefault="00DA54D0" w:rsidP="00DA54D0">
      <w:pPr>
        <w:jc w:val="both"/>
        <w:rPr>
          <w:rFonts w:asciiTheme="minorHAnsi" w:hAnsiTheme="minorHAnsi"/>
          <w:b/>
          <w:i/>
          <w:szCs w:val="22"/>
        </w:rPr>
      </w:pPr>
    </w:p>
    <w:p w:rsidR="00DA54D0" w:rsidRPr="00A06206" w:rsidRDefault="00DA54D0" w:rsidP="00DA54D0">
      <w:pPr>
        <w:pStyle w:val="Odstavecseseznamem"/>
        <w:numPr>
          <w:ilvl w:val="0"/>
          <w:numId w:val="19"/>
        </w:numPr>
        <w:spacing w:line="276" w:lineRule="auto"/>
        <w:jc w:val="both"/>
        <w:rPr>
          <w:szCs w:val="22"/>
        </w:rPr>
      </w:pPr>
      <w:r w:rsidRPr="00A06206">
        <w:rPr>
          <w:b/>
          <w:szCs w:val="22"/>
        </w:rPr>
        <w:t>Rozhodování o</w:t>
      </w:r>
      <w:r w:rsidRPr="00A06206">
        <w:rPr>
          <w:szCs w:val="22"/>
        </w:rPr>
        <w:t xml:space="preserve"> </w:t>
      </w:r>
      <w:r w:rsidRPr="00A06206">
        <w:rPr>
          <w:b/>
          <w:szCs w:val="22"/>
        </w:rPr>
        <w:t>dotacích a jejich využívání</w:t>
      </w:r>
      <w:r w:rsidRPr="00A06206">
        <w:rPr>
          <w:szCs w:val="22"/>
        </w:rPr>
        <w:t xml:space="preserve"> sportovními organizacemi by mělo být maximálně transparentní a kontrolované (zveřejňování rozpočtů sportovních organizací a jakou jeho část tvoří dotace, na co byly dotace použity apod.);</w:t>
      </w:r>
    </w:p>
    <w:p w:rsidR="00DA54D0" w:rsidRPr="00A06206" w:rsidRDefault="00DA54D0" w:rsidP="00DA54D0">
      <w:pPr>
        <w:pStyle w:val="Odstavecseseznamem"/>
        <w:ind w:left="1080"/>
        <w:jc w:val="both"/>
        <w:rPr>
          <w:szCs w:val="22"/>
        </w:rPr>
      </w:pPr>
    </w:p>
    <w:p w:rsidR="00DA54D0" w:rsidRPr="00A06206" w:rsidRDefault="00DA54D0" w:rsidP="00DA54D0">
      <w:pPr>
        <w:pStyle w:val="Odstavecseseznamem"/>
        <w:numPr>
          <w:ilvl w:val="0"/>
          <w:numId w:val="19"/>
        </w:numPr>
        <w:spacing w:line="276" w:lineRule="auto"/>
        <w:jc w:val="both"/>
        <w:rPr>
          <w:szCs w:val="22"/>
        </w:rPr>
      </w:pPr>
      <w:r w:rsidRPr="00A06206">
        <w:rPr>
          <w:b/>
          <w:szCs w:val="22"/>
        </w:rPr>
        <w:t>Demokratizace a zprůhlednění řízení sportovních organizací</w:t>
      </w:r>
      <w:r w:rsidRPr="00A06206">
        <w:rPr>
          <w:szCs w:val="22"/>
        </w:rPr>
        <w:t>. Sportovní organizace by se ve svých činnostech měly inspirovat principy „</w:t>
      </w:r>
      <w:proofErr w:type="spellStart"/>
      <w:r w:rsidRPr="00A06206">
        <w:rPr>
          <w:szCs w:val="22"/>
        </w:rPr>
        <w:t>good</w:t>
      </w:r>
      <w:proofErr w:type="spellEnd"/>
      <w:r w:rsidRPr="00A06206">
        <w:rPr>
          <w:szCs w:val="22"/>
        </w:rPr>
        <w:t xml:space="preserve"> </w:t>
      </w:r>
      <w:proofErr w:type="spellStart"/>
      <w:r w:rsidRPr="00A06206">
        <w:rPr>
          <w:szCs w:val="22"/>
        </w:rPr>
        <w:t>governance</w:t>
      </w:r>
      <w:proofErr w:type="spellEnd"/>
      <w:r w:rsidRPr="00A06206">
        <w:rPr>
          <w:szCs w:val="22"/>
        </w:rPr>
        <w:t>“ uplatňovanými ve veřejné správě</w:t>
      </w:r>
      <w:r w:rsidR="005F75AA" w:rsidRPr="00A06206">
        <w:rPr>
          <w:szCs w:val="22"/>
        </w:rPr>
        <w:t>;</w:t>
      </w: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</w:p>
    <w:p w:rsidR="00DA54D0" w:rsidRPr="00A06206" w:rsidRDefault="00DA54D0" w:rsidP="00DA54D0">
      <w:pPr>
        <w:pStyle w:val="Odstavecseseznamem"/>
        <w:numPr>
          <w:ilvl w:val="0"/>
          <w:numId w:val="19"/>
        </w:numPr>
        <w:spacing w:line="276" w:lineRule="auto"/>
        <w:jc w:val="both"/>
        <w:rPr>
          <w:szCs w:val="22"/>
        </w:rPr>
      </w:pPr>
      <w:r w:rsidRPr="00A06206">
        <w:rPr>
          <w:b/>
          <w:szCs w:val="22"/>
        </w:rPr>
        <w:t>Větší zapojení občanů do rozhodování</w:t>
      </w:r>
      <w:r w:rsidRPr="00A06206">
        <w:rPr>
          <w:szCs w:val="22"/>
        </w:rPr>
        <w:t xml:space="preserve"> o pořádání často velmi nákladných sportovních událostí (např. odmít</w:t>
      </w:r>
      <w:r w:rsidR="005F75AA">
        <w:rPr>
          <w:szCs w:val="22"/>
        </w:rPr>
        <w:t>nutá olympiáda občany Hamburku).</w:t>
      </w:r>
    </w:p>
    <w:p w:rsidR="00DA54D0" w:rsidRPr="00A06206" w:rsidRDefault="00DA54D0" w:rsidP="00DA54D0">
      <w:pPr>
        <w:pStyle w:val="Odstavecseseznamem"/>
        <w:ind w:left="1080"/>
        <w:jc w:val="both"/>
        <w:rPr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 xml:space="preserve">Díky zahájení stíhání vysokých představitelů FIFA, které vedlo k resignaci dlouholetého předsedy FIFA </w:t>
      </w:r>
      <w:proofErr w:type="spellStart"/>
      <w:r w:rsidRPr="00A06206">
        <w:rPr>
          <w:rFonts w:asciiTheme="minorHAnsi" w:hAnsiTheme="minorHAnsi"/>
          <w:szCs w:val="22"/>
        </w:rPr>
        <w:t>Seppa</w:t>
      </w:r>
      <w:proofErr w:type="spellEnd"/>
      <w:r w:rsidRPr="00A06206">
        <w:rPr>
          <w:rFonts w:asciiTheme="minorHAnsi" w:hAnsiTheme="minorHAnsi"/>
          <w:szCs w:val="22"/>
        </w:rPr>
        <w:t xml:space="preserve"> </w:t>
      </w:r>
      <w:proofErr w:type="spellStart"/>
      <w:r w:rsidRPr="00A06206">
        <w:rPr>
          <w:rFonts w:asciiTheme="minorHAnsi" w:hAnsiTheme="minorHAnsi"/>
          <w:szCs w:val="22"/>
        </w:rPr>
        <w:t>Blattera</w:t>
      </w:r>
      <w:proofErr w:type="spellEnd"/>
      <w:r w:rsidRPr="00A06206">
        <w:rPr>
          <w:rFonts w:asciiTheme="minorHAnsi" w:hAnsiTheme="minorHAnsi"/>
          <w:szCs w:val="22"/>
        </w:rPr>
        <w:t xml:space="preserve"> a následně i předsedy UEFA Michaela </w:t>
      </w:r>
      <w:proofErr w:type="spellStart"/>
      <w:r w:rsidRPr="00A06206">
        <w:rPr>
          <w:rFonts w:asciiTheme="minorHAnsi" w:hAnsiTheme="minorHAnsi"/>
          <w:szCs w:val="22"/>
        </w:rPr>
        <w:t>Platiniho</w:t>
      </w:r>
      <w:proofErr w:type="spellEnd"/>
      <w:r w:rsidRPr="00A06206">
        <w:rPr>
          <w:rFonts w:asciiTheme="minorHAnsi" w:hAnsiTheme="minorHAnsi"/>
          <w:szCs w:val="22"/>
        </w:rPr>
        <w:t>, se korupce ve sportu dostala na přední stránky světových médií. Do českých médií se dostala korupce ve sportu do popředí zejména v souvislosti s tzv. kauzou Růžička.</w:t>
      </w: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I v českém prostředí se TI setkávala s řadou kauz či podezření. Na právní poradnu TI se občané obraceli s podněty, které se týkaly netransparentního rozdělování dotací a nakládání s nimi. Jako příklad mohou sloužit nejasně využitá podpora pro lyžařský klub z Litvínova či podněty na financování hokejových klubů z komunálních rozpočtů. Signifikantní je též, že se problémy většinou týkaly oddílů mládeže. „</w:t>
      </w:r>
      <w:r w:rsidRPr="00A06206">
        <w:rPr>
          <w:rFonts w:asciiTheme="minorHAnsi" w:hAnsiTheme="minorHAnsi"/>
          <w:i/>
          <w:szCs w:val="22"/>
        </w:rPr>
        <w:t xml:space="preserve">Na rozdíl od státu, kde nějaká pravidla existují, se obce a kraje rozhodují takřka libovolně a též </w:t>
      </w:r>
      <w:r w:rsidR="00FE56CF" w:rsidRPr="00A06206">
        <w:rPr>
          <w:rFonts w:asciiTheme="minorHAnsi" w:hAnsiTheme="minorHAnsi"/>
          <w:i/>
          <w:szCs w:val="22"/>
        </w:rPr>
        <w:t>zpětná kontrola je o dost nižší,</w:t>
      </w:r>
      <w:r w:rsidRPr="00A06206">
        <w:rPr>
          <w:rFonts w:asciiTheme="minorHAnsi" w:hAnsiTheme="minorHAnsi"/>
          <w:szCs w:val="22"/>
        </w:rPr>
        <w:t>“ říká Petr Leyer, vedoucí právní poradny</w:t>
      </w:r>
      <w:r w:rsidR="0075249F" w:rsidRPr="00A06206">
        <w:rPr>
          <w:rFonts w:asciiTheme="minorHAnsi" w:hAnsiTheme="minorHAnsi"/>
          <w:szCs w:val="22"/>
        </w:rPr>
        <w:t xml:space="preserve"> TI</w:t>
      </w:r>
      <w:r w:rsidRPr="00A06206">
        <w:rPr>
          <w:rFonts w:asciiTheme="minorHAnsi" w:hAnsiTheme="minorHAnsi"/>
          <w:szCs w:val="22"/>
        </w:rPr>
        <w:t>.</w:t>
      </w: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</w:p>
    <w:p w:rsidR="00DA54D0" w:rsidRPr="00A06206" w:rsidRDefault="006A6225" w:rsidP="00DA54D0">
      <w:pPr>
        <w:jc w:val="both"/>
        <w:rPr>
          <w:rFonts w:asciiTheme="minorHAnsi" w:hAnsiTheme="minorHAnsi"/>
          <w:b/>
          <w:szCs w:val="22"/>
        </w:rPr>
      </w:pPr>
      <w:r w:rsidRPr="00A06206">
        <w:rPr>
          <w:rFonts w:asciiTheme="minorHAnsi" w:hAnsiTheme="minorHAnsi"/>
          <w:szCs w:val="22"/>
        </w:rPr>
        <w:lastRenderedPageBreak/>
        <w:t>„</w:t>
      </w:r>
      <w:r w:rsidR="00DA54D0" w:rsidRPr="00A06206">
        <w:rPr>
          <w:rFonts w:asciiTheme="minorHAnsi" w:hAnsiTheme="minorHAnsi"/>
          <w:i/>
          <w:szCs w:val="22"/>
        </w:rPr>
        <w:t xml:space="preserve">Transparency International chce proto otevřít diskusi o potřebných preventivních opatřeních proti korupci ve sportu. V českém prostředí jsme identifikovali jako klíčová následující rizika: </w:t>
      </w:r>
      <w:r w:rsidR="00DA54D0" w:rsidRPr="00A06206">
        <w:rPr>
          <w:rFonts w:asciiTheme="minorHAnsi" w:hAnsiTheme="minorHAnsi"/>
          <w:b/>
          <w:i/>
          <w:szCs w:val="22"/>
        </w:rPr>
        <w:t>veřejné finance ve sportu, sázkové podvody a zacházení s hráči, přičemž jednotícím aspektem je kvalitní a otevřený management sportovních organizací a asociací</w:t>
      </w:r>
      <w:r w:rsidR="00C369F2">
        <w:rPr>
          <w:rFonts w:asciiTheme="minorHAnsi" w:hAnsiTheme="minorHAnsi"/>
          <w:b/>
          <w:i/>
          <w:szCs w:val="22"/>
        </w:rPr>
        <w:t>,</w:t>
      </w:r>
      <w:r w:rsidR="00C369F2">
        <w:rPr>
          <w:rFonts w:asciiTheme="minorHAnsi" w:hAnsiTheme="minorHAnsi"/>
          <w:b/>
          <w:szCs w:val="22"/>
        </w:rPr>
        <w:t>“</w:t>
      </w:r>
      <w:r w:rsidRPr="00A06206">
        <w:rPr>
          <w:rFonts w:asciiTheme="minorHAnsi" w:hAnsiTheme="minorHAnsi"/>
          <w:b/>
          <w:szCs w:val="22"/>
        </w:rPr>
        <w:t xml:space="preserve"> </w:t>
      </w:r>
      <w:r w:rsidR="00C369F2">
        <w:rPr>
          <w:rFonts w:asciiTheme="minorHAnsi" w:hAnsiTheme="minorHAnsi"/>
          <w:szCs w:val="22"/>
        </w:rPr>
        <w:t>upozorňuje</w:t>
      </w:r>
      <w:r w:rsidRPr="00A06206">
        <w:rPr>
          <w:rFonts w:asciiTheme="minorHAnsi" w:hAnsiTheme="minorHAnsi"/>
          <w:szCs w:val="22"/>
        </w:rPr>
        <w:t xml:space="preserve"> programový ředitel </w:t>
      </w:r>
      <w:proofErr w:type="gramStart"/>
      <w:r w:rsidRPr="00A06206">
        <w:rPr>
          <w:rFonts w:asciiTheme="minorHAnsi" w:hAnsiTheme="minorHAnsi"/>
          <w:szCs w:val="22"/>
        </w:rPr>
        <w:t>TI</w:t>
      </w:r>
      <w:proofErr w:type="gramEnd"/>
      <w:r w:rsidRPr="00A06206">
        <w:rPr>
          <w:rFonts w:asciiTheme="minorHAnsi" w:hAnsiTheme="minorHAnsi"/>
          <w:szCs w:val="22"/>
        </w:rPr>
        <w:t xml:space="preserve"> Radim Bureš</w:t>
      </w:r>
      <w:r w:rsidR="00DA54D0" w:rsidRPr="00A06206">
        <w:rPr>
          <w:rFonts w:asciiTheme="minorHAnsi" w:hAnsiTheme="minorHAnsi"/>
          <w:szCs w:val="22"/>
        </w:rPr>
        <w:t>.</w:t>
      </w: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b/>
          <w:szCs w:val="22"/>
        </w:rPr>
      </w:pPr>
      <w:r w:rsidRPr="00A06206">
        <w:rPr>
          <w:rFonts w:asciiTheme="minorHAnsi" w:hAnsiTheme="minorHAnsi"/>
          <w:b/>
          <w:szCs w:val="22"/>
        </w:rPr>
        <w:t>Veřejné finance ve sportu</w:t>
      </w:r>
    </w:p>
    <w:p w:rsidR="00DA54D0" w:rsidRPr="00A06206" w:rsidRDefault="00B30337" w:rsidP="00DA54D0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 xml:space="preserve">Český stát dotuje každoročně sport částkou téměř 4 miliardy ročně, na rok následující je přislíbeno 6 miliard. </w:t>
      </w:r>
      <w:r w:rsidR="00DA54D0" w:rsidRPr="00A06206">
        <w:rPr>
          <w:rFonts w:asciiTheme="minorHAnsi" w:hAnsiTheme="minorHAnsi"/>
          <w:szCs w:val="22"/>
        </w:rPr>
        <w:t xml:space="preserve">Sportovní organizace dlouhodobě požadují navýšení této částky. Její navýšení však musí jít ruku v ruce s opatřeními na větší transparentnost a cílení. </w:t>
      </w:r>
      <w:r w:rsidR="00BA4FB0" w:rsidRPr="00A06206">
        <w:rPr>
          <w:rFonts w:asciiTheme="minorHAnsi" w:hAnsiTheme="minorHAnsi"/>
          <w:szCs w:val="22"/>
        </w:rPr>
        <w:t>Proto MŠMT v čele s ministryní Kateřinou Valachovou sází na jasná a srozumitelná pravidla stejná pro všechny, transparentnost financování, nasměrování financí na podporu sportování dětí a mládeže a samotných klubů a tělovýchovných jednot</w:t>
      </w:r>
      <w:r w:rsidR="00460482" w:rsidRPr="00A06206">
        <w:rPr>
          <w:rFonts w:asciiTheme="minorHAnsi" w:hAnsiTheme="minorHAnsi"/>
          <w:szCs w:val="22"/>
        </w:rPr>
        <w:t xml:space="preserve">. Samotné sportovní prostředí podle Kateřiny Valachové dnes s ohledem na jistotu v plánování preferuje nastavení jasných a průhledných kritérií. </w:t>
      </w:r>
    </w:p>
    <w:p w:rsidR="0075249F" w:rsidRPr="00A06206" w:rsidRDefault="0075249F" w:rsidP="00DA54D0">
      <w:pPr>
        <w:jc w:val="both"/>
        <w:rPr>
          <w:rFonts w:asciiTheme="minorHAnsi" w:hAnsiTheme="minorHAnsi"/>
          <w:b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b/>
          <w:szCs w:val="22"/>
        </w:rPr>
      </w:pPr>
      <w:r w:rsidRPr="00A06206">
        <w:rPr>
          <w:rFonts w:asciiTheme="minorHAnsi" w:hAnsiTheme="minorHAnsi"/>
          <w:b/>
          <w:szCs w:val="22"/>
        </w:rPr>
        <w:t>Prevence sázkových podvodů</w:t>
      </w: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Česká republika se nesetkala s velkým případem ovlivňování fotbalového sázení. Přispěl</w:t>
      </w:r>
      <w:r w:rsidR="00E019D0" w:rsidRPr="00A06206">
        <w:rPr>
          <w:rFonts w:asciiTheme="minorHAnsi" w:hAnsiTheme="minorHAnsi"/>
          <w:szCs w:val="22"/>
        </w:rPr>
        <w:t xml:space="preserve">a k tomu i opatření </w:t>
      </w:r>
      <w:r w:rsidR="0075249F" w:rsidRPr="00A06206">
        <w:rPr>
          <w:rFonts w:asciiTheme="minorHAnsi" w:hAnsiTheme="minorHAnsi"/>
          <w:szCs w:val="22"/>
        </w:rPr>
        <w:t>Fotbalové asociace České republiky</w:t>
      </w:r>
      <w:r w:rsidR="00E019D0" w:rsidRPr="00A06206">
        <w:rPr>
          <w:rFonts w:asciiTheme="minorHAnsi" w:hAnsiTheme="minorHAnsi"/>
          <w:szCs w:val="22"/>
        </w:rPr>
        <w:t>. FAČR jako jedna z prvních asociací v Evropě uza</w:t>
      </w:r>
      <w:r w:rsidR="0075249F" w:rsidRPr="00A06206">
        <w:rPr>
          <w:rFonts w:asciiTheme="minorHAnsi" w:hAnsiTheme="minorHAnsi"/>
          <w:szCs w:val="22"/>
        </w:rPr>
        <w:t xml:space="preserve">vřela se společností </w:t>
      </w:r>
      <w:proofErr w:type="spellStart"/>
      <w:r w:rsidR="0075249F" w:rsidRPr="00A06206">
        <w:rPr>
          <w:rFonts w:asciiTheme="minorHAnsi" w:hAnsiTheme="minorHAnsi"/>
          <w:szCs w:val="22"/>
        </w:rPr>
        <w:t>Sportradar</w:t>
      </w:r>
      <w:proofErr w:type="spellEnd"/>
      <w:r w:rsidR="0075249F" w:rsidRPr="00A06206">
        <w:rPr>
          <w:rFonts w:asciiTheme="minorHAnsi" w:hAnsiTheme="minorHAnsi"/>
          <w:szCs w:val="22"/>
        </w:rPr>
        <w:t xml:space="preserve"> </w:t>
      </w:r>
      <w:r w:rsidR="00E019D0" w:rsidRPr="00A06206">
        <w:rPr>
          <w:rFonts w:asciiTheme="minorHAnsi" w:hAnsiTheme="minorHAnsi"/>
          <w:szCs w:val="22"/>
        </w:rPr>
        <w:t xml:space="preserve">smlouvu o monitoringu profesionálních soutěží. </w:t>
      </w:r>
      <w:r w:rsidR="00870E6F" w:rsidRPr="00A06206">
        <w:rPr>
          <w:rFonts w:asciiTheme="minorHAnsi" w:hAnsiTheme="minorHAnsi"/>
          <w:szCs w:val="22"/>
        </w:rPr>
        <w:t>Na základě smlouvy jsou pomocí počítačových programů analyzována a porovnávána data z utkání, v případě podezření nekalého ovlivnění (např. výrazná odchylka od statistického normálu) jsou informovány příslušné orgány. Při potírání tohoto fenoménu FAČR napřímo spolupracuje s UEFA a Policií ČR.</w:t>
      </w:r>
      <w:r w:rsidR="00920815" w:rsidRPr="00A06206">
        <w:rPr>
          <w:rFonts w:asciiTheme="minorHAnsi" w:hAnsiTheme="minorHAnsi"/>
          <w:szCs w:val="22"/>
        </w:rPr>
        <w:t xml:space="preserve"> </w:t>
      </w:r>
      <w:r w:rsidR="00E019D0" w:rsidRPr="00A06206">
        <w:rPr>
          <w:rFonts w:asciiTheme="minorHAnsi" w:hAnsiTheme="minorHAnsi"/>
          <w:szCs w:val="22"/>
        </w:rPr>
        <w:t>O problematice sázkových podvodů a rizik s tím spojených pro hráče, ale i jejich okolí, provádí FAČR pravidelná preventivní školení, zaměř</w:t>
      </w:r>
      <w:r w:rsidR="002F08A9" w:rsidRPr="00A06206">
        <w:rPr>
          <w:rFonts w:asciiTheme="minorHAnsi" w:hAnsiTheme="minorHAnsi"/>
          <w:szCs w:val="22"/>
        </w:rPr>
        <w:t>e</w:t>
      </w:r>
      <w:r w:rsidR="00E019D0" w:rsidRPr="00A06206">
        <w:rPr>
          <w:rFonts w:asciiTheme="minorHAnsi" w:hAnsiTheme="minorHAnsi"/>
          <w:szCs w:val="22"/>
        </w:rPr>
        <w:t xml:space="preserve">ná zejména na mládežnické kategorie. </w:t>
      </w:r>
      <w:r w:rsidR="00FE56CF" w:rsidRPr="00A06206">
        <w:rPr>
          <w:rFonts w:asciiTheme="minorHAnsi" w:hAnsiTheme="minorHAnsi"/>
          <w:szCs w:val="22"/>
        </w:rPr>
        <w:t>„</w:t>
      </w:r>
      <w:r w:rsidR="00FE56CF" w:rsidRPr="00A06206">
        <w:rPr>
          <w:rFonts w:asciiTheme="minorHAnsi" w:hAnsiTheme="minorHAnsi"/>
          <w:i/>
          <w:szCs w:val="22"/>
        </w:rPr>
        <w:t>FAČR, stejně tak jako UEFA a FIFA, prosazuje absolutní nulovou toleranci při porušení integrity jakéhokoli utkání</w:t>
      </w:r>
      <w:r w:rsidR="00FE56CF" w:rsidRPr="00A06206">
        <w:rPr>
          <w:rFonts w:asciiTheme="minorHAnsi" w:hAnsiTheme="minorHAnsi"/>
          <w:szCs w:val="22"/>
        </w:rPr>
        <w:t xml:space="preserve">,“ zdůrazňuje Martin </w:t>
      </w:r>
      <w:proofErr w:type="spellStart"/>
      <w:r w:rsidR="00FE56CF" w:rsidRPr="00A06206">
        <w:rPr>
          <w:rFonts w:asciiTheme="minorHAnsi" w:hAnsiTheme="minorHAnsi"/>
          <w:szCs w:val="22"/>
        </w:rPr>
        <w:t>Synecký</w:t>
      </w:r>
      <w:proofErr w:type="spellEnd"/>
      <w:r w:rsidR="00FE56CF" w:rsidRPr="00A06206">
        <w:rPr>
          <w:rFonts w:asciiTheme="minorHAnsi" w:hAnsiTheme="minorHAnsi"/>
          <w:szCs w:val="22"/>
        </w:rPr>
        <w:t xml:space="preserve">, </w:t>
      </w:r>
      <w:proofErr w:type="spellStart"/>
      <w:r w:rsidR="0075249F" w:rsidRPr="00A06206">
        <w:rPr>
          <w:rFonts w:asciiTheme="minorHAnsi" w:hAnsiTheme="minorHAnsi"/>
          <w:szCs w:val="22"/>
        </w:rPr>
        <w:t>Security</w:t>
      </w:r>
      <w:proofErr w:type="spellEnd"/>
      <w:r w:rsidR="0075249F" w:rsidRPr="00A06206">
        <w:rPr>
          <w:rFonts w:asciiTheme="minorHAnsi" w:hAnsiTheme="minorHAnsi"/>
          <w:szCs w:val="22"/>
        </w:rPr>
        <w:t xml:space="preserve"> a Integrity </w:t>
      </w:r>
      <w:proofErr w:type="spellStart"/>
      <w:r w:rsidR="0075249F" w:rsidRPr="00A06206">
        <w:rPr>
          <w:rFonts w:asciiTheme="minorHAnsi" w:hAnsiTheme="minorHAnsi"/>
          <w:szCs w:val="22"/>
        </w:rPr>
        <w:t>Officer</w:t>
      </w:r>
      <w:proofErr w:type="spellEnd"/>
      <w:r w:rsidR="0075249F" w:rsidRPr="00A06206">
        <w:rPr>
          <w:rFonts w:asciiTheme="minorHAnsi" w:hAnsiTheme="minorHAnsi"/>
          <w:szCs w:val="22"/>
        </w:rPr>
        <w:t xml:space="preserve"> FAČR.</w:t>
      </w:r>
    </w:p>
    <w:p w:rsidR="00E019D0" w:rsidRPr="00A06206" w:rsidRDefault="00E019D0" w:rsidP="00DA54D0">
      <w:pPr>
        <w:jc w:val="both"/>
        <w:rPr>
          <w:rFonts w:asciiTheme="minorHAnsi" w:hAnsiTheme="minorHAnsi"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b/>
          <w:szCs w:val="22"/>
        </w:rPr>
      </w:pPr>
      <w:r w:rsidRPr="00A06206">
        <w:rPr>
          <w:rFonts w:asciiTheme="minorHAnsi" w:hAnsiTheme="minorHAnsi"/>
          <w:b/>
          <w:szCs w:val="22"/>
        </w:rPr>
        <w:t>Zacházení s hráči jako součást problému</w:t>
      </w:r>
    </w:p>
    <w:p w:rsidR="00D80CA1" w:rsidRPr="00A06206" w:rsidRDefault="0089316B" w:rsidP="00233C44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Stranou pozornosti veřejnosti i médií zůstáva</w:t>
      </w:r>
      <w:r w:rsidR="00D80CA1" w:rsidRPr="00A06206">
        <w:rPr>
          <w:rFonts w:asciiTheme="minorHAnsi" w:hAnsiTheme="minorHAnsi"/>
          <w:szCs w:val="22"/>
        </w:rPr>
        <w:t>jí některé otázky právního rámce</w:t>
      </w:r>
      <w:r w:rsidRPr="00A06206">
        <w:rPr>
          <w:rFonts w:asciiTheme="minorHAnsi" w:hAnsiTheme="minorHAnsi"/>
          <w:szCs w:val="22"/>
        </w:rPr>
        <w:t xml:space="preserve"> fungování sportu v ČR, jako je právní postavení hráčů či existence a role tzv. třetích stran, tedy podnikatelských subjektů, které jsou na sport napojeny.  Přitom i tyto otázky významně ovlivňují transparentnost </w:t>
      </w:r>
      <w:r w:rsidR="00870E6F" w:rsidRPr="00A06206">
        <w:rPr>
          <w:rFonts w:asciiTheme="minorHAnsi" w:hAnsiTheme="minorHAnsi"/>
          <w:szCs w:val="22"/>
        </w:rPr>
        <w:t>sportovního prostředí.</w:t>
      </w:r>
    </w:p>
    <w:p w:rsidR="00D80CA1" w:rsidRPr="00A06206" w:rsidRDefault="00D80CA1" w:rsidP="00233C44">
      <w:pPr>
        <w:jc w:val="both"/>
        <w:rPr>
          <w:rFonts w:asciiTheme="minorHAnsi" w:hAnsiTheme="minorHAnsi"/>
          <w:szCs w:val="22"/>
        </w:rPr>
      </w:pPr>
    </w:p>
    <w:p w:rsidR="00DA54D0" w:rsidRPr="00A06206" w:rsidRDefault="00233C44" w:rsidP="00233C44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"</w:t>
      </w:r>
      <w:r w:rsidRPr="00A06206">
        <w:rPr>
          <w:rFonts w:asciiTheme="minorHAnsi" w:hAnsiTheme="minorHAnsi"/>
          <w:i/>
          <w:szCs w:val="22"/>
        </w:rPr>
        <w:t>Amatérští hráči jsou v Česku svázáni tabulkovým odstupným a jsou tak ve skutečnosti ve službách svých domovských klubů. Volný pohyb těchto hráčů, garantovaný téměř v rámci celé EU, je u nás</w:t>
      </w:r>
      <w:r w:rsidR="00721F07">
        <w:rPr>
          <w:rFonts w:asciiTheme="minorHAnsi" w:hAnsiTheme="minorHAnsi"/>
          <w:i/>
          <w:szCs w:val="22"/>
        </w:rPr>
        <w:t xml:space="preserve"> cíleně omezován.</w:t>
      </w:r>
      <w:r w:rsidRPr="00A06206">
        <w:rPr>
          <w:rFonts w:asciiTheme="minorHAnsi" w:hAnsiTheme="minorHAnsi"/>
          <w:i/>
          <w:szCs w:val="22"/>
        </w:rPr>
        <w:t xml:space="preserve"> Jsme také poslední zemí EU, kde ve fotbale funguje Švarc </w:t>
      </w:r>
      <w:proofErr w:type="gramStart"/>
      <w:r w:rsidRPr="00A06206">
        <w:rPr>
          <w:rFonts w:asciiTheme="minorHAnsi" w:hAnsiTheme="minorHAnsi"/>
          <w:i/>
          <w:szCs w:val="22"/>
        </w:rPr>
        <w:t>systém a hráči</w:t>
      </w:r>
      <w:proofErr w:type="gramEnd"/>
      <w:r w:rsidRPr="00A06206">
        <w:rPr>
          <w:rFonts w:asciiTheme="minorHAnsi" w:hAnsiTheme="minorHAnsi"/>
          <w:i/>
          <w:szCs w:val="22"/>
        </w:rPr>
        <w:t xml:space="preserve"> nejsou zaměstnanci klubů. Minimální výše měsíční odměny pro profesionálního hráče má od letošního léta činit jen 5 tisíc korun, což nejenže nereflektuje aktuální výši minimální mzdy, ale ani životního minima</w:t>
      </w:r>
      <w:r w:rsidRPr="00A06206">
        <w:rPr>
          <w:rFonts w:asciiTheme="minorHAnsi" w:hAnsiTheme="minorHAnsi"/>
          <w:szCs w:val="22"/>
        </w:rPr>
        <w:t>," shrnuje některé z problémů předsedkyně České asociace fotbalových hráčů Markéta Haindlová.</w:t>
      </w: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</w:p>
    <w:p w:rsidR="00A06206" w:rsidRDefault="00A06206" w:rsidP="00DA54D0">
      <w:pPr>
        <w:jc w:val="both"/>
        <w:rPr>
          <w:rFonts w:asciiTheme="minorHAnsi" w:hAnsiTheme="minorHAnsi"/>
          <w:b/>
          <w:szCs w:val="22"/>
        </w:rPr>
      </w:pPr>
    </w:p>
    <w:p w:rsidR="00A06206" w:rsidRDefault="00A06206" w:rsidP="00DA54D0">
      <w:pPr>
        <w:jc w:val="both"/>
        <w:rPr>
          <w:rFonts w:asciiTheme="minorHAnsi" w:hAnsiTheme="minorHAnsi"/>
          <w:b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b/>
          <w:szCs w:val="22"/>
        </w:rPr>
      </w:pPr>
      <w:r w:rsidRPr="00A06206">
        <w:rPr>
          <w:rFonts w:asciiTheme="minorHAnsi" w:hAnsiTheme="minorHAnsi"/>
          <w:b/>
          <w:szCs w:val="22"/>
        </w:rPr>
        <w:lastRenderedPageBreak/>
        <w:t>Aktivity TI v oblasti sportu</w:t>
      </w:r>
    </w:p>
    <w:p w:rsidR="00A06206" w:rsidRDefault="00A06206" w:rsidP="00DA54D0">
      <w:pPr>
        <w:jc w:val="both"/>
        <w:rPr>
          <w:rFonts w:asciiTheme="minorHAnsi" w:hAnsiTheme="minorHAnsi"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 xml:space="preserve">V nejbližším období se TI chce zaměřit na analýzu </w:t>
      </w:r>
      <w:r w:rsidRPr="00A06206">
        <w:rPr>
          <w:rFonts w:asciiTheme="minorHAnsi" w:hAnsiTheme="minorHAnsi"/>
          <w:b/>
          <w:szCs w:val="22"/>
        </w:rPr>
        <w:t>dotací do sportu přidělovaných z veřejných prostředků</w:t>
      </w:r>
      <w:r w:rsidRPr="00A06206">
        <w:rPr>
          <w:rFonts w:asciiTheme="minorHAnsi" w:hAnsiTheme="minorHAnsi"/>
          <w:szCs w:val="22"/>
        </w:rPr>
        <w:t xml:space="preserve"> – zejména z prostředků krajů a měst, které představují podstatně větší částky, než jsou prostředky ze státního rozpočtu. Zaměříme se zejména na transparentnost přidělování dotací a na vzájemnou informovanost jednotlivých poskytovatelů dotací o dotacích z jiných zdrojů.</w:t>
      </w:r>
      <w:r w:rsidR="00870E6F" w:rsidRPr="00A06206">
        <w:rPr>
          <w:rFonts w:asciiTheme="minorHAnsi" w:hAnsiTheme="minorHAnsi"/>
          <w:szCs w:val="22"/>
        </w:rPr>
        <w:t xml:space="preserve"> Sledovat budeme i to, z</w:t>
      </w:r>
      <w:r w:rsidR="0000299F" w:rsidRPr="00A06206">
        <w:rPr>
          <w:rFonts w:asciiTheme="minorHAnsi" w:hAnsiTheme="minorHAnsi"/>
          <w:szCs w:val="22"/>
        </w:rPr>
        <w:t>da tyto dotace jsou skutečně uží</w:t>
      </w:r>
      <w:r w:rsidR="00870E6F" w:rsidRPr="00A06206">
        <w:rPr>
          <w:rFonts w:asciiTheme="minorHAnsi" w:hAnsiTheme="minorHAnsi"/>
          <w:szCs w:val="22"/>
        </w:rPr>
        <w:t>vány sportovními kluby a zda se nepřelévají do na ně napojených podnikatelských organizací.</w:t>
      </w: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</w:p>
    <w:p w:rsidR="00DA54D0" w:rsidRPr="00A06206" w:rsidRDefault="00DA54D0" w:rsidP="00DA54D0">
      <w:pPr>
        <w:jc w:val="both"/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 xml:space="preserve">Pokračujeme také ve spolupráci s Českým svazem ledního hokeje na </w:t>
      </w:r>
      <w:r w:rsidRPr="00A06206">
        <w:rPr>
          <w:rFonts w:asciiTheme="minorHAnsi" w:hAnsiTheme="minorHAnsi"/>
          <w:b/>
          <w:szCs w:val="22"/>
        </w:rPr>
        <w:t>provozu etické linky</w:t>
      </w:r>
      <w:r w:rsidRPr="00A06206">
        <w:rPr>
          <w:rFonts w:asciiTheme="minorHAnsi" w:hAnsiTheme="minorHAnsi"/>
          <w:szCs w:val="22"/>
        </w:rPr>
        <w:t>, která bude představena na samostatné společné tiskové konferenci v </w:t>
      </w:r>
      <w:r w:rsidR="008077CD">
        <w:rPr>
          <w:rFonts w:asciiTheme="minorHAnsi" w:hAnsiTheme="minorHAnsi"/>
          <w:szCs w:val="22"/>
        </w:rPr>
        <w:t>příštím</w:t>
      </w:r>
      <w:r w:rsidR="008077CD" w:rsidRPr="00A06206">
        <w:rPr>
          <w:rFonts w:asciiTheme="minorHAnsi" w:hAnsiTheme="minorHAnsi"/>
          <w:szCs w:val="22"/>
        </w:rPr>
        <w:t xml:space="preserve"> </w:t>
      </w:r>
      <w:r w:rsidRPr="00A06206">
        <w:rPr>
          <w:rFonts w:asciiTheme="minorHAnsi" w:hAnsiTheme="minorHAnsi"/>
          <w:szCs w:val="22"/>
        </w:rPr>
        <w:t>týdn</w:t>
      </w:r>
      <w:r w:rsidR="008077CD">
        <w:rPr>
          <w:rFonts w:asciiTheme="minorHAnsi" w:hAnsiTheme="minorHAnsi"/>
          <w:szCs w:val="22"/>
        </w:rPr>
        <w:t>u</w:t>
      </w:r>
      <w:r w:rsidRPr="00A06206">
        <w:rPr>
          <w:rFonts w:asciiTheme="minorHAnsi" w:hAnsiTheme="minorHAnsi"/>
          <w:szCs w:val="22"/>
        </w:rPr>
        <w:t>.</w:t>
      </w:r>
    </w:p>
    <w:p w:rsidR="00DA54D0" w:rsidRDefault="00DA54D0" w:rsidP="00DA54D0">
      <w:pPr>
        <w:jc w:val="both"/>
        <w:rPr>
          <w:rFonts w:asciiTheme="minorHAnsi" w:hAnsiTheme="minorHAnsi"/>
          <w:b/>
          <w:szCs w:val="22"/>
        </w:rPr>
      </w:pPr>
      <w:r w:rsidRPr="00A06206">
        <w:rPr>
          <w:rFonts w:asciiTheme="minorHAnsi" w:hAnsiTheme="minorHAnsi"/>
          <w:szCs w:val="22"/>
        </w:rPr>
        <w:t xml:space="preserve">Více informací, včetně publikace </w:t>
      </w:r>
      <w:r w:rsidRPr="00A06206">
        <w:rPr>
          <w:rFonts w:asciiTheme="minorHAnsi" w:hAnsiTheme="minorHAnsi"/>
          <w:i/>
          <w:szCs w:val="22"/>
        </w:rPr>
        <w:t>Global Corruption Report 2016: Sport</w:t>
      </w:r>
      <w:r w:rsidRPr="00A06206">
        <w:rPr>
          <w:rFonts w:asciiTheme="minorHAnsi" w:hAnsiTheme="minorHAnsi"/>
          <w:szCs w:val="22"/>
        </w:rPr>
        <w:t xml:space="preserve"> (v angličtině) je k dispozici na </w:t>
      </w:r>
      <w:hyperlink r:id="rId8" w:history="1">
        <w:r w:rsidRPr="00A06206">
          <w:rPr>
            <w:rStyle w:val="Hypertextovodkaz"/>
            <w:rFonts w:asciiTheme="minorHAnsi" w:eastAsiaTheme="majorEastAsia" w:hAnsiTheme="minorHAnsi"/>
            <w:color w:val="0070C0"/>
            <w:szCs w:val="22"/>
          </w:rPr>
          <w:t>www.transparency.cz</w:t>
        </w:r>
      </w:hyperlink>
      <w:r w:rsidRPr="00A06206">
        <w:rPr>
          <w:rFonts w:asciiTheme="minorHAnsi" w:hAnsiTheme="minorHAnsi"/>
          <w:szCs w:val="22"/>
        </w:rPr>
        <w:t>.</w:t>
      </w:r>
      <w:r w:rsidRPr="00A06206">
        <w:rPr>
          <w:rFonts w:asciiTheme="minorHAnsi" w:hAnsiTheme="minorHAnsi"/>
          <w:b/>
          <w:szCs w:val="22"/>
        </w:rPr>
        <w:t xml:space="preserve"> </w:t>
      </w:r>
      <w:bookmarkStart w:id="0" w:name="_GoBack"/>
      <w:bookmarkEnd w:id="0"/>
    </w:p>
    <w:p w:rsidR="003C7C8C" w:rsidRDefault="003C7C8C" w:rsidP="00DA54D0">
      <w:pPr>
        <w:jc w:val="both"/>
        <w:rPr>
          <w:rFonts w:asciiTheme="minorHAnsi" w:hAnsiTheme="minorHAnsi"/>
          <w:b/>
          <w:szCs w:val="22"/>
        </w:rPr>
      </w:pPr>
    </w:p>
    <w:p w:rsidR="003C7C8C" w:rsidRPr="003C7C8C" w:rsidRDefault="003C7C8C" w:rsidP="00DA54D0">
      <w:pPr>
        <w:jc w:val="both"/>
        <w:rPr>
          <w:rFonts w:asciiTheme="minorHAnsi" w:hAnsiTheme="minorHAnsi"/>
          <w:b/>
          <w:szCs w:val="22"/>
          <w:u w:val="single"/>
        </w:rPr>
      </w:pPr>
      <w:r w:rsidRPr="003C7C8C">
        <w:rPr>
          <w:rFonts w:asciiTheme="minorHAnsi" w:hAnsiTheme="minorHAnsi"/>
          <w:b/>
          <w:szCs w:val="22"/>
          <w:u w:val="single"/>
        </w:rPr>
        <w:t>Ke stažení:</w:t>
      </w:r>
    </w:p>
    <w:p w:rsidR="003C7C8C" w:rsidRDefault="003C7C8C" w:rsidP="00DA54D0">
      <w:pPr>
        <w:jc w:val="both"/>
        <w:rPr>
          <w:rFonts w:asciiTheme="minorHAnsi" w:hAnsiTheme="minorHAnsi"/>
          <w:b/>
          <w:szCs w:val="22"/>
        </w:rPr>
      </w:pPr>
    </w:p>
    <w:p w:rsidR="003C7C8C" w:rsidRPr="003C7C8C" w:rsidRDefault="003C7C8C" w:rsidP="00DA54D0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Publikace</w:t>
      </w:r>
      <w:r w:rsidR="005F75AA"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 xml:space="preserve"> </w:t>
      </w:r>
      <w:hyperlink r:id="rId9" w:history="1">
        <w:r w:rsidRPr="003C7C8C">
          <w:rPr>
            <w:rStyle w:val="Hypertextovodkaz"/>
            <w:rFonts w:asciiTheme="minorHAnsi" w:hAnsiTheme="minorHAnsi"/>
            <w:color w:val="0070C0"/>
            <w:szCs w:val="22"/>
          </w:rPr>
          <w:t>„Global Corruption Report: Sport“</w:t>
        </w:r>
      </w:hyperlink>
    </w:p>
    <w:p w:rsidR="00B51A8C" w:rsidRDefault="00B51A8C" w:rsidP="00B51A8C">
      <w:pPr>
        <w:jc w:val="both"/>
        <w:rPr>
          <w:rFonts w:asciiTheme="minorHAnsi" w:hAnsiTheme="minorHAnsi"/>
          <w:b/>
          <w:szCs w:val="22"/>
        </w:rPr>
      </w:pPr>
    </w:p>
    <w:p w:rsidR="003C7C8C" w:rsidRPr="005F75AA" w:rsidRDefault="003C7C8C" w:rsidP="00B51A8C">
      <w:pPr>
        <w:jc w:val="both"/>
        <w:rPr>
          <w:rFonts w:asciiTheme="minorHAnsi" w:hAnsiTheme="minorHAnsi"/>
          <w:szCs w:val="22"/>
        </w:rPr>
      </w:pPr>
      <w:r w:rsidRPr="005F75AA">
        <w:rPr>
          <w:rFonts w:asciiTheme="minorHAnsi" w:hAnsiTheme="minorHAnsi"/>
          <w:szCs w:val="22"/>
        </w:rPr>
        <w:t>Web</w:t>
      </w:r>
      <w:r w:rsidR="005F75AA" w:rsidRPr="005F75AA">
        <w:rPr>
          <w:rFonts w:asciiTheme="minorHAnsi" w:hAnsiTheme="minorHAnsi"/>
          <w:szCs w:val="22"/>
        </w:rPr>
        <w:t xml:space="preserve"> </w:t>
      </w:r>
      <w:r w:rsidR="005F75AA">
        <w:rPr>
          <w:rFonts w:asciiTheme="minorHAnsi" w:hAnsiTheme="minorHAnsi"/>
          <w:szCs w:val="22"/>
        </w:rPr>
        <w:t xml:space="preserve">TI: </w:t>
      </w:r>
      <w:hyperlink r:id="rId10" w:history="1">
        <w:r w:rsidR="005F75AA" w:rsidRPr="005F75AA">
          <w:rPr>
            <w:rStyle w:val="Hypertextovodkaz"/>
            <w:rFonts w:asciiTheme="minorHAnsi" w:hAnsiTheme="minorHAnsi"/>
            <w:color w:val="0070C0"/>
            <w:szCs w:val="22"/>
          </w:rPr>
          <w:t>www.transparency.cz/transparentni-financovani-sportu/</w:t>
        </w:r>
      </w:hyperlink>
    </w:p>
    <w:p w:rsidR="00022B9D" w:rsidRPr="00A06206" w:rsidRDefault="00022B9D" w:rsidP="00B51A8C">
      <w:pPr>
        <w:jc w:val="both"/>
        <w:rPr>
          <w:rFonts w:asciiTheme="minorHAnsi" w:hAnsiTheme="minorHAnsi"/>
          <w:b/>
          <w:szCs w:val="22"/>
        </w:rPr>
      </w:pPr>
    </w:p>
    <w:p w:rsidR="00B51A8C" w:rsidRPr="00A06206" w:rsidRDefault="00B51A8C" w:rsidP="00B51A8C">
      <w:pPr>
        <w:rPr>
          <w:rFonts w:asciiTheme="minorHAnsi" w:hAnsiTheme="minorHAnsi"/>
          <w:b/>
          <w:szCs w:val="22"/>
          <w:u w:val="single"/>
        </w:rPr>
      </w:pPr>
      <w:r w:rsidRPr="00A06206">
        <w:rPr>
          <w:rFonts w:asciiTheme="minorHAnsi" w:hAnsiTheme="minorHAnsi"/>
          <w:b/>
          <w:szCs w:val="22"/>
          <w:u w:val="single"/>
        </w:rPr>
        <w:t>Kontakty pro média:</w:t>
      </w:r>
    </w:p>
    <w:p w:rsidR="00B51A8C" w:rsidRPr="00A06206" w:rsidRDefault="00B51A8C" w:rsidP="00B51A8C">
      <w:pPr>
        <w:rPr>
          <w:rFonts w:asciiTheme="minorHAnsi" w:hAnsiTheme="minorHAnsi"/>
          <w:b/>
          <w:szCs w:val="22"/>
          <w:u w:val="single"/>
        </w:rPr>
      </w:pPr>
    </w:p>
    <w:p w:rsidR="00B51A8C" w:rsidRPr="00A06206" w:rsidRDefault="005F75AA" w:rsidP="00B51A8C">
      <w:pPr>
        <w:rPr>
          <w:rFonts w:asciiTheme="minorHAnsi" w:hAnsiTheme="minorHAnsi"/>
          <w:color w:val="0070C0"/>
          <w:szCs w:val="22"/>
        </w:rPr>
      </w:pPr>
      <w:hyperlink r:id="rId11" w:history="1">
        <w:r w:rsidR="00B51A8C" w:rsidRPr="00A06206">
          <w:rPr>
            <w:rStyle w:val="Hypertextovodkaz"/>
            <w:rFonts w:asciiTheme="minorHAnsi" w:eastAsiaTheme="majorEastAsia" w:hAnsiTheme="minorHAnsi"/>
            <w:color w:val="0070C0"/>
            <w:szCs w:val="22"/>
          </w:rPr>
          <w:t>Radim Bureš</w:t>
        </w:r>
      </w:hyperlink>
      <w:r w:rsidR="00B51A8C" w:rsidRPr="00A06206">
        <w:rPr>
          <w:rFonts w:asciiTheme="minorHAnsi" w:hAnsiTheme="minorHAnsi"/>
          <w:color w:val="0070C0"/>
          <w:szCs w:val="22"/>
        </w:rPr>
        <w:t xml:space="preserve"> </w:t>
      </w:r>
    </w:p>
    <w:p w:rsidR="00B51A8C" w:rsidRPr="00A06206" w:rsidRDefault="00B51A8C" w:rsidP="00B51A8C">
      <w:pPr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Programový ředitel Transparency International Česká republika</w:t>
      </w:r>
    </w:p>
    <w:p w:rsidR="00B51A8C" w:rsidRPr="00A06206" w:rsidRDefault="00B51A8C" w:rsidP="00B51A8C">
      <w:pPr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Mobil: +420 733 666 008</w:t>
      </w:r>
    </w:p>
    <w:p w:rsidR="00B51A8C" w:rsidRPr="00984C71" w:rsidRDefault="00B51A8C" w:rsidP="00984C71">
      <w:pPr>
        <w:jc w:val="both"/>
        <w:rPr>
          <w:rStyle w:val="Hypertextovodkaz"/>
          <w:rFonts w:eastAsiaTheme="majorEastAsia"/>
          <w:color w:val="0070C0"/>
        </w:rPr>
      </w:pPr>
      <w:r w:rsidRPr="00A06206">
        <w:rPr>
          <w:rFonts w:asciiTheme="minorHAnsi" w:hAnsiTheme="minorHAnsi"/>
          <w:szCs w:val="22"/>
        </w:rPr>
        <w:t xml:space="preserve">E-mail: </w:t>
      </w:r>
      <w:hyperlink r:id="rId12" w:history="1">
        <w:r w:rsidR="00984C71" w:rsidRPr="00984C71">
          <w:rPr>
            <w:rStyle w:val="Hypertextovodkaz"/>
            <w:rFonts w:asciiTheme="minorHAnsi" w:eastAsiaTheme="majorEastAsia" w:hAnsiTheme="minorHAnsi"/>
            <w:color w:val="0070C0"/>
            <w:szCs w:val="22"/>
          </w:rPr>
          <w:t>bures@transparency.cz</w:t>
        </w:r>
      </w:hyperlink>
      <w:r w:rsidRPr="00984C71">
        <w:rPr>
          <w:rStyle w:val="Hypertextovodkaz"/>
          <w:rFonts w:eastAsiaTheme="majorEastAsia"/>
          <w:color w:val="0070C0"/>
        </w:rPr>
        <w:t xml:space="preserve"> </w:t>
      </w:r>
    </w:p>
    <w:p w:rsidR="00B51A8C" w:rsidRPr="00984C71" w:rsidRDefault="00B51A8C" w:rsidP="00984C71">
      <w:pPr>
        <w:jc w:val="both"/>
        <w:rPr>
          <w:rStyle w:val="Hypertextovodkaz"/>
          <w:rFonts w:eastAsiaTheme="majorEastAsia"/>
          <w:color w:val="0070C0"/>
        </w:rPr>
      </w:pPr>
    </w:p>
    <w:p w:rsidR="00B51A8C" w:rsidRDefault="005D0864" w:rsidP="00B51A8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Jarmila Balážová</w:t>
      </w:r>
    </w:p>
    <w:p w:rsidR="005D0864" w:rsidRDefault="005D0864" w:rsidP="00B51A8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Tisková mluvčí MŠMT</w:t>
      </w:r>
    </w:p>
    <w:p w:rsidR="00896C7A" w:rsidRDefault="00896C7A" w:rsidP="00B51A8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Mobil: </w:t>
      </w:r>
      <w:r w:rsidRPr="00A06206">
        <w:rPr>
          <w:rFonts w:asciiTheme="minorHAnsi" w:hAnsiTheme="minorHAnsi"/>
          <w:szCs w:val="22"/>
        </w:rPr>
        <w:t xml:space="preserve">+420 </w:t>
      </w:r>
      <w:r w:rsidRPr="00896C7A">
        <w:rPr>
          <w:rFonts w:asciiTheme="minorHAnsi" w:hAnsiTheme="minorHAnsi"/>
          <w:szCs w:val="22"/>
        </w:rPr>
        <w:t>778 425 930</w:t>
      </w:r>
    </w:p>
    <w:p w:rsidR="005D0864" w:rsidRPr="00984C71" w:rsidRDefault="005D0864" w:rsidP="00B51A8C">
      <w:pPr>
        <w:rPr>
          <w:rStyle w:val="Hypertextovodkaz"/>
          <w:rFonts w:eastAsiaTheme="majorEastAsia"/>
          <w:color w:val="0070C0"/>
        </w:rPr>
      </w:pPr>
      <w:r>
        <w:rPr>
          <w:rFonts w:asciiTheme="minorHAnsi" w:hAnsiTheme="minorHAnsi"/>
          <w:szCs w:val="22"/>
        </w:rPr>
        <w:t>E</w:t>
      </w:r>
      <w:r w:rsidRPr="005D0864">
        <w:rPr>
          <w:rFonts w:asciiTheme="minorHAnsi" w:hAnsiTheme="minorHAnsi"/>
          <w:szCs w:val="22"/>
        </w:rPr>
        <w:t>-mail:</w:t>
      </w:r>
      <w:r>
        <w:rPr>
          <w:rFonts w:asciiTheme="minorHAnsi" w:hAnsiTheme="minorHAnsi"/>
          <w:szCs w:val="22"/>
        </w:rPr>
        <w:t xml:space="preserve"> </w:t>
      </w:r>
      <w:hyperlink r:id="rId13" w:history="1">
        <w:r w:rsidRPr="00984C71">
          <w:rPr>
            <w:rStyle w:val="Hypertextovodkaz"/>
            <w:rFonts w:asciiTheme="minorHAnsi" w:eastAsiaTheme="majorEastAsia" w:hAnsiTheme="minorHAnsi"/>
            <w:color w:val="0070C0"/>
            <w:szCs w:val="22"/>
          </w:rPr>
          <w:t>press@msmt.cz</w:t>
        </w:r>
      </w:hyperlink>
      <w:r w:rsidRPr="00984C71">
        <w:rPr>
          <w:rStyle w:val="Hypertextovodkaz"/>
          <w:rFonts w:eastAsiaTheme="majorEastAsia"/>
          <w:color w:val="0070C0"/>
        </w:rPr>
        <w:t xml:space="preserve"> </w:t>
      </w:r>
    </w:p>
    <w:p w:rsidR="00B51A8C" w:rsidRPr="00A06206" w:rsidRDefault="00B51A8C" w:rsidP="00B51A8C">
      <w:pPr>
        <w:rPr>
          <w:rFonts w:asciiTheme="minorHAnsi" w:hAnsiTheme="minorHAnsi"/>
          <w:szCs w:val="22"/>
        </w:rPr>
      </w:pPr>
    </w:p>
    <w:p w:rsidR="00B51A8C" w:rsidRPr="00A06206" w:rsidRDefault="00B51A8C" w:rsidP="00B51A8C">
      <w:pPr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Martin Synecký</w:t>
      </w:r>
    </w:p>
    <w:p w:rsidR="00B51A8C" w:rsidRPr="00A06206" w:rsidRDefault="00963A6C" w:rsidP="00B51A8C">
      <w:pPr>
        <w:rPr>
          <w:rFonts w:asciiTheme="minorHAnsi" w:hAnsiTheme="minorHAnsi"/>
          <w:szCs w:val="22"/>
        </w:rPr>
      </w:pPr>
      <w:proofErr w:type="spellStart"/>
      <w:r w:rsidRPr="00A06206">
        <w:rPr>
          <w:rFonts w:asciiTheme="minorHAnsi" w:hAnsiTheme="minorHAnsi"/>
          <w:szCs w:val="22"/>
        </w:rPr>
        <w:t>Secur</w:t>
      </w:r>
      <w:r w:rsidR="00B51A8C" w:rsidRPr="00A06206">
        <w:rPr>
          <w:rFonts w:asciiTheme="minorHAnsi" w:hAnsiTheme="minorHAnsi"/>
          <w:szCs w:val="22"/>
        </w:rPr>
        <w:t>ity</w:t>
      </w:r>
      <w:proofErr w:type="spellEnd"/>
      <w:r w:rsidR="00B51A8C" w:rsidRPr="00A06206">
        <w:rPr>
          <w:rFonts w:asciiTheme="minorHAnsi" w:hAnsiTheme="minorHAnsi"/>
          <w:szCs w:val="22"/>
        </w:rPr>
        <w:t xml:space="preserve"> a Integrity </w:t>
      </w:r>
      <w:proofErr w:type="spellStart"/>
      <w:r w:rsidR="00B51A8C" w:rsidRPr="00A06206">
        <w:rPr>
          <w:rFonts w:asciiTheme="minorHAnsi" w:hAnsiTheme="minorHAnsi"/>
          <w:szCs w:val="22"/>
        </w:rPr>
        <w:t>Officer</w:t>
      </w:r>
      <w:proofErr w:type="spellEnd"/>
      <w:r w:rsidR="007F2857" w:rsidRPr="00A06206">
        <w:rPr>
          <w:rFonts w:asciiTheme="minorHAnsi" w:hAnsiTheme="minorHAnsi"/>
          <w:szCs w:val="22"/>
        </w:rPr>
        <w:t xml:space="preserve"> FA</w:t>
      </w:r>
      <w:r w:rsidR="00B51A8C" w:rsidRPr="00A06206">
        <w:rPr>
          <w:rFonts w:asciiTheme="minorHAnsi" w:hAnsiTheme="minorHAnsi"/>
          <w:szCs w:val="22"/>
        </w:rPr>
        <w:t>ČR</w:t>
      </w:r>
    </w:p>
    <w:p w:rsidR="009677E0" w:rsidRPr="00A06206" w:rsidRDefault="009677E0" w:rsidP="009677E0">
      <w:pPr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Mobil: +420 734 423 896</w:t>
      </w:r>
    </w:p>
    <w:p w:rsidR="00834746" w:rsidRPr="00984C71" w:rsidRDefault="009677E0" w:rsidP="009677E0">
      <w:pPr>
        <w:rPr>
          <w:rStyle w:val="Hypertextovodkaz"/>
          <w:rFonts w:eastAsiaTheme="majorEastAsia"/>
          <w:color w:val="0070C0"/>
        </w:rPr>
      </w:pPr>
      <w:r w:rsidRPr="00A06206">
        <w:rPr>
          <w:rFonts w:asciiTheme="minorHAnsi" w:hAnsiTheme="minorHAnsi"/>
          <w:szCs w:val="22"/>
        </w:rPr>
        <w:t xml:space="preserve">E-mail: </w:t>
      </w:r>
      <w:hyperlink r:id="rId14" w:history="1">
        <w:r w:rsidR="00834746" w:rsidRPr="00984C71">
          <w:rPr>
            <w:rStyle w:val="Hypertextovodkaz"/>
            <w:rFonts w:asciiTheme="minorHAnsi" w:eastAsiaTheme="majorEastAsia" w:hAnsiTheme="minorHAnsi"/>
            <w:color w:val="0070C0"/>
            <w:szCs w:val="22"/>
          </w:rPr>
          <w:t>synecky@fotbal.cz</w:t>
        </w:r>
      </w:hyperlink>
    </w:p>
    <w:p w:rsidR="009677E0" w:rsidRPr="00A06206" w:rsidRDefault="009677E0" w:rsidP="00B51A8C">
      <w:pPr>
        <w:rPr>
          <w:rFonts w:asciiTheme="minorHAnsi" w:hAnsiTheme="minorHAnsi"/>
          <w:szCs w:val="22"/>
        </w:rPr>
      </w:pPr>
    </w:p>
    <w:p w:rsidR="00B51A8C" w:rsidRPr="00A06206" w:rsidRDefault="00B51A8C" w:rsidP="00B51A8C">
      <w:pPr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Markéta Haindlová</w:t>
      </w:r>
    </w:p>
    <w:p w:rsidR="00B51A8C" w:rsidRPr="00A06206" w:rsidRDefault="00963A6C" w:rsidP="00963A6C">
      <w:pPr>
        <w:rPr>
          <w:rFonts w:asciiTheme="minorHAnsi" w:hAnsiTheme="minorHAnsi"/>
          <w:szCs w:val="22"/>
        </w:rPr>
      </w:pPr>
      <w:r w:rsidRPr="00A06206">
        <w:rPr>
          <w:rFonts w:asciiTheme="minorHAnsi" w:hAnsiTheme="minorHAnsi"/>
          <w:szCs w:val="22"/>
        </w:rPr>
        <w:t>Předsedkyně</w:t>
      </w:r>
      <w:r w:rsidR="009677E0" w:rsidRPr="00A06206">
        <w:rPr>
          <w:rFonts w:asciiTheme="minorHAnsi" w:hAnsiTheme="minorHAnsi"/>
          <w:szCs w:val="22"/>
        </w:rPr>
        <w:t xml:space="preserve"> České</w:t>
      </w:r>
      <w:r w:rsidRPr="00A06206">
        <w:rPr>
          <w:rFonts w:asciiTheme="minorHAnsi" w:hAnsiTheme="minorHAnsi"/>
          <w:szCs w:val="22"/>
        </w:rPr>
        <w:t xml:space="preserve"> asociace fotbalových hráčů</w:t>
      </w:r>
    </w:p>
    <w:p w:rsidR="00F06DA3" w:rsidRPr="00A06206" w:rsidRDefault="00F06DA3" w:rsidP="00834746">
      <w:pPr>
        <w:rPr>
          <w:rFonts w:asciiTheme="minorHAnsi" w:hAnsiTheme="minorHAnsi"/>
          <w:szCs w:val="22"/>
        </w:rPr>
      </w:pPr>
      <w:r w:rsidRPr="00A06206">
        <w:rPr>
          <w:rFonts w:ascii="Calibri" w:hAnsi="Calibri"/>
          <w:color w:val="000000"/>
          <w:szCs w:val="22"/>
        </w:rPr>
        <w:t xml:space="preserve">Mobil: </w:t>
      </w:r>
      <w:r w:rsidRPr="00A06206">
        <w:rPr>
          <w:rFonts w:asciiTheme="minorHAnsi" w:hAnsiTheme="minorHAnsi"/>
          <w:szCs w:val="22"/>
        </w:rPr>
        <w:t>+420 </w:t>
      </w:r>
      <w:r w:rsidRPr="00A06206">
        <w:rPr>
          <w:rFonts w:ascii="Calibri" w:hAnsi="Calibri"/>
          <w:color w:val="000000"/>
          <w:szCs w:val="22"/>
        </w:rPr>
        <w:t>604 181 487</w:t>
      </w:r>
    </w:p>
    <w:p w:rsidR="00834746" w:rsidRPr="00984C71" w:rsidRDefault="00834746" w:rsidP="00834746">
      <w:pPr>
        <w:rPr>
          <w:rStyle w:val="Hypertextovodkaz"/>
          <w:rFonts w:eastAsiaTheme="majorEastAsia"/>
          <w:color w:val="0070C0"/>
        </w:rPr>
      </w:pPr>
      <w:r w:rsidRPr="00A06206">
        <w:rPr>
          <w:rFonts w:asciiTheme="minorHAnsi" w:hAnsiTheme="minorHAnsi"/>
          <w:szCs w:val="22"/>
        </w:rPr>
        <w:t xml:space="preserve">E-mail: </w:t>
      </w:r>
      <w:hyperlink r:id="rId15" w:history="1">
        <w:r w:rsidRPr="00984C71">
          <w:rPr>
            <w:rStyle w:val="Hypertextovodkaz"/>
            <w:rFonts w:asciiTheme="minorHAnsi" w:eastAsiaTheme="majorEastAsia" w:hAnsiTheme="minorHAnsi"/>
            <w:color w:val="0070C0"/>
            <w:szCs w:val="22"/>
          </w:rPr>
          <w:t>marketa.haindlova@cafh.cz</w:t>
        </w:r>
      </w:hyperlink>
      <w:r w:rsidRPr="00984C71">
        <w:rPr>
          <w:rStyle w:val="Hypertextovodkaz"/>
          <w:rFonts w:eastAsiaTheme="majorEastAsia"/>
          <w:color w:val="0070C0"/>
        </w:rPr>
        <w:t xml:space="preserve">  </w:t>
      </w:r>
    </w:p>
    <w:sectPr w:rsidR="00834746" w:rsidRPr="00984C71" w:rsidSect="00A06206">
      <w:headerReference w:type="even" r:id="rId16"/>
      <w:headerReference w:type="default" r:id="rId17"/>
      <w:footerReference w:type="default" r:id="rId18"/>
      <w:pgSz w:w="11906" w:h="16838"/>
      <w:pgMar w:top="1810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8B" w:rsidRDefault="0050018B" w:rsidP="00A53006">
      <w:r>
        <w:separator/>
      </w:r>
    </w:p>
  </w:endnote>
  <w:endnote w:type="continuationSeparator" w:id="0">
    <w:p w:rsidR="0050018B" w:rsidRDefault="0050018B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Times New Roman"/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-169638914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310215054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06206" w:rsidRDefault="00A062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20"/>
                <w:szCs w:val="20"/>
              </w:rPr>
            </w:pPr>
          </w:p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F75AA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F75AA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A53006" w:rsidRPr="00786744" w:rsidRDefault="002E4134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Transparency International </w:t>
    </w:r>
    <w:r w:rsidR="00C23101" w:rsidRPr="00786744">
      <w:rPr>
        <w:rFonts w:ascii="Oswald" w:hAnsi="Oswald"/>
        <w:color w:val="808080" w:themeColor="background1" w:themeShade="80"/>
        <w:sz w:val="16"/>
        <w:szCs w:val="16"/>
      </w:rPr>
      <w:t xml:space="preserve">- </w:t>
    </w:r>
    <w:r w:rsidR="00A53006" w:rsidRPr="00786744">
      <w:rPr>
        <w:rFonts w:ascii="Oswald" w:hAnsi="Oswald"/>
        <w:color w:val="808080" w:themeColor="background1" w:themeShade="80"/>
        <w:sz w:val="16"/>
        <w:szCs w:val="16"/>
      </w:rPr>
      <w:t xml:space="preserve">Česká republika, o. p. s. | Sokolovská 260/143, 180 00 Praha 8, Česká republika | </w:t>
    </w:r>
  </w:p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8B" w:rsidRDefault="0050018B" w:rsidP="00A53006">
      <w:r>
        <w:separator/>
      </w:r>
    </w:p>
  </w:footnote>
  <w:footnote w:type="continuationSeparator" w:id="0">
    <w:p w:rsidR="0050018B" w:rsidRDefault="0050018B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BF" w:rsidRDefault="007B56BF">
    <w:pPr>
      <w:pStyle w:val="Zhlav"/>
    </w:pPr>
    <w:r>
      <w:rPr>
        <w:noProof/>
        <w:lang w:eastAsia="cs-CZ"/>
      </w:rPr>
      <w:drawing>
        <wp:inline distT="0" distB="0" distL="0" distR="0" wp14:anchorId="03DB3584" wp14:editId="0BA0B204">
          <wp:extent cx="1495425" cy="762000"/>
          <wp:effectExtent l="0" t="0" r="9525" b="0"/>
          <wp:docPr id="5" name="Obrázek 5" descr="\\tisad01.ad.transparency.cz\Plochy$\kotora\F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isad01.ad.transparency.cz\Plochy$\kotora\F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5C97649" wp14:editId="5CCBBAB7">
          <wp:simplePos x="0" y="0"/>
          <wp:positionH relativeFrom="column">
            <wp:posOffset>-52070</wp:posOffset>
          </wp:positionH>
          <wp:positionV relativeFrom="paragraph">
            <wp:posOffset>15875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06206" w:rsidRDefault="00A06206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18"/>
        <w:szCs w:val="20"/>
      </w:rPr>
    </w:pPr>
  </w:p>
  <w:p w:rsidR="00A53006" w:rsidRPr="00656E55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18"/>
        <w:szCs w:val="20"/>
      </w:rPr>
    </w:pPr>
    <w:r w:rsidRPr="00656E55">
      <w:rPr>
        <w:rFonts w:ascii="Oswald" w:hAnsi="Oswald"/>
        <w:i/>
        <w:color w:val="0065B3"/>
        <w:sz w:val="18"/>
        <w:szCs w:val="20"/>
      </w:rPr>
      <w:t>„</w:t>
    </w:r>
    <w:r w:rsidR="00A53006" w:rsidRPr="00656E55">
      <w:rPr>
        <w:rFonts w:ascii="Oswald" w:hAnsi="Oswald"/>
        <w:i/>
        <w:color w:val="0065B3"/>
        <w:sz w:val="18"/>
        <w:szCs w:val="20"/>
      </w:rPr>
      <w:t>Hlídáme veřejný zájem, hájíme efektivní a odpovědnou správu země.</w:t>
    </w:r>
    <w:r w:rsidRPr="00656E55">
      <w:rPr>
        <w:rFonts w:ascii="Oswald" w:hAnsi="Oswald"/>
        <w:i/>
        <w:color w:val="0065B3"/>
        <w:sz w:val="18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615"/>
    <w:multiLevelType w:val="hybridMultilevel"/>
    <w:tmpl w:val="4C5E2F78"/>
    <w:lvl w:ilvl="0" w:tplc="D5CEF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CC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D45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4" w:tplc="D2744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C04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6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C4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67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83447"/>
    <w:multiLevelType w:val="hybridMultilevel"/>
    <w:tmpl w:val="7DD24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14FD"/>
    <w:multiLevelType w:val="hybridMultilevel"/>
    <w:tmpl w:val="D95E77DC"/>
    <w:lvl w:ilvl="0" w:tplc="D9C27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C40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26C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65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85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80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2FD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AEB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0D6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787AD4"/>
    <w:multiLevelType w:val="hybridMultilevel"/>
    <w:tmpl w:val="6E5887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DF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EA7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6C3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4E4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CF4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4EF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68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86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B021DB"/>
    <w:multiLevelType w:val="hybridMultilevel"/>
    <w:tmpl w:val="2FB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405"/>
    <w:multiLevelType w:val="hybridMultilevel"/>
    <w:tmpl w:val="56546B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849AC"/>
    <w:multiLevelType w:val="hybridMultilevel"/>
    <w:tmpl w:val="3F503AB6"/>
    <w:lvl w:ilvl="0" w:tplc="DF9E6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6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7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7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88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6C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61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82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43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156141"/>
    <w:multiLevelType w:val="hybridMultilevel"/>
    <w:tmpl w:val="99F60954"/>
    <w:lvl w:ilvl="0" w:tplc="3D36D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56A06"/>
    <w:multiLevelType w:val="hybridMultilevel"/>
    <w:tmpl w:val="6608DBDA"/>
    <w:lvl w:ilvl="0" w:tplc="77AC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CC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3A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5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4" w:tplc="69DC7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0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65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0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E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F0799C"/>
    <w:multiLevelType w:val="hybridMultilevel"/>
    <w:tmpl w:val="601EC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112D9"/>
    <w:multiLevelType w:val="hybridMultilevel"/>
    <w:tmpl w:val="7BB2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D02B1"/>
    <w:multiLevelType w:val="hybridMultilevel"/>
    <w:tmpl w:val="D7D0D6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C7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E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A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1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05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A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F9701D"/>
    <w:multiLevelType w:val="hybridMultilevel"/>
    <w:tmpl w:val="CB1A3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C26AD"/>
    <w:multiLevelType w:val="hybridMultilevel"/>
    <w:tmpl w:val="CE229232"/>
    <w:lvl w:ilvl="0" w:tplc="0C7E9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609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2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C4A9A">
      <w:start w:val="2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A6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55B4">
      <w:start w:val="23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65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EE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E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802A11"/>
    <w:multiLevelType w:val="hybridMultilevel"/>
    <w:tmpl w:val="1E1EB6DE"/>
    <w:lvl w:ilvl="0" w:tplc="ECD8C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8A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C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5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7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B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E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04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64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3647EE"/>
    <w:multiLevelType w:val="hybridMultilevel"/>
    <w:tmpl w:val="931E65D6"/>
    <w:lvl w:ilvl="0" w:tplc="3D36D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C7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E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A4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981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05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A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377F35"/>
    <w:multiLevelType w:val="hybridMultilevel"/>
    <w:tmpl w:val="F67E0BE4"/>
    <w:lvl w:ilvl="0" w:tplc="89388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85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0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C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5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EE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A9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82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A0B36"/>
    <w:multiLevelType w:val="hybridMultilevel"/>
    <w:tmpl w:val="8E1417AC"/>
    <w:lvl w:ilvl="0" w:tplc="3D36D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8"/>
  </w:num>
  <w:num w:numId="15">
    <w:abstractNumId w:val="10"/>
  </w:num>
  <w:num w:numId="16">
    <w:abstractNumId w:val="16"/>
  </w:num>
  <w:num w:numId="17">
    <w:abstractNumId w:val="1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0299F"/>
    <w:rsid w:val="00021201"/>
    <w:rsid w:val="00022B9D"/>
    <w:rsid w:val="00026D61"/>
    <w:rsid w:val="00030551"/>
    <w:rsid w:val="0004030C"/>
    <w:rsid w:val="00065ECF"/>
    <w:rsid w:val="00075D15"/>
    <w:rsid w:val="000760EA"/>
    <w:rsid w:val="000911EA"/>
    <w:rsid w:val="000B17B4"/>
    <w:rsid w:val="00117F3E"/>
    <w:rsid w:val="001451AD"/>
    <w:rsid w:val="00176750"/>
    <w:rsid w:val="00182A84"/>
    <w:rsid w:val="001B146E"/>
    <w:rsid w:val="001B71D2"/>
    <w:rsid w:val="00221151"/>
    <w:rsid w:val="00233C44"/>
    <w:rsid w:val="00275385"/>
    <w:rsid w:val="002A6A4C"/>
    <w:rsid w:val="002D3BC1"/>
    <w:rsid w:val="002D676F"/>
    <w:rsid w:val="002E1563"/>
    <w:rsid w:val="002E2C9A"/>
    <w:rsid w:val="002E4134"/>
    <w:rsid w:val="002F08A9"/>
    <w:rsid w:val="00320214"/>
    <w:rsid w:val="0034773E"/>
    <w:rsid w:val="00392BC4"/>
    <w:rsid w:val="0039735F"/>
    <w:rsid w:val="003C7C8C"/>
    <w:rsid w:val="003F6F34"/>
    <w:rsid w:val="004005B9"/>
    <w:rsid w:val="00445F84"/>
    <w:rsid w:val="00460482"/>
    <w:rsid w:val="0047451F"/>
    <w:rsid w:val="004A578C"/>
    <w:rsid w:val="0050018B"/>
    <w:rsid w:val="0050064F"/>
    <w:rsid w:val="00581030"/>
    <w:rsid w:val="00585C70"/>
    <w:rsid w:val="00590AF9"/>
    <w:rsid w:val="005D0864"/>
    <w:rsid w:val="005F75AA"/>
    <w:rsid w:val="006215FC"/>
    <w:rsid w:val="006538FF"/>
    <w:rsid w:val="00656E55"/>
    <w:rsid w:val="0066337A"/>
    <w:rsid w:val="00673A46"/>
    <w:rsid w:val="006931A9"/>
    <w:rsid w:val="006A6225"/>
    <w:rsid w:val="00721F07"/>
    <w:rsid w:val="00740073"/>
    <w:rsid w:val="007457A9"/>
    <w:rsid w:val="0074702E"/>
    <w:rsid w:val="007472D9"/>
    <w:rsid w:val="0075249F"/>
    <w:rsid w:val="00754BD1"/>
    <w:rsid w:val="00786744"/>
    <w:rsid w:val="00787EC3"/>
    <w:rsid w:val="007B56BF"/>
    <w:rsid w:val="007C6326"/>
    <w:rsid w:val="007F2857"/>
    <w:rsid w:val="008077CD"/>
    <w:rsid w:val="00817E07"/>
    <w:rsid w:val="008333E9"/>
    <w:rsid w:val="00834746"/>
    <w:rsid w:val="008550AB"/>
    <w:rsid w:val="00870E6F"/>
    <w:rsid w:val="00873F66"/>
    <w:rsid w:val="008870EF"/>
    <w:rsid w:val="0089316B"/>
    <w:rsid w:val="00896C7A"/>
    <w:rsid w:val="008B07B5"/>
    <w:rsid w:val="00920815"/>
    <w:rsid w:val="00960D2E"/>
    <w:rsid w:val="00963A6C"/>
    <w:rsid w:val="00966C16"/>
    <w:rsid w:val="009677E0"/>
    <w:rsid w:val="00976879"/>
    <w:rsid w:val="00984C71"/>
    <w:rsid w:val="009F0CEF"/>
    <w:rsid w:val="009F7C19"/>
    <w:rsid w:val="00A06206"/>
    <w:rsid w:val="00A128BA"/>
    <w:rsid w:val="00A53006"/>
    <w:rsid w:val="00A64C56"/>
    <w:rsid w:val="00AA0B09"/>
    <w:rsid w:val="00B25690"/>
    <w:rsid w:val="00B30337"/>
    <w:rsid w:val="00B51A8C"/>
    <w:rsid w:val="00BA4FB0"/>
    <w:rsid w:val="00BF508E"/>
    <w:rsid w:val="00C02F2D"/>
    <w:rsid w:val="00C12039"/>
    <w:rsid w:val="00C23101"/>
    <w:rsid w:val="00C369F2"/>
    <w:rsid w:val="00C51B1A"/>
    <w:rsid w:val="00C8793C"/>
    <w:rsid w:val="00CA2DC2"/>
    <w:rsid w:val="00CA72FB"/>
    <w:rsid w:val="00CE17EF"/>
    <w:rsid w:val="00CF2926"/>
    <w:rsid w:val="00D80CA1"/>
    <w:rsid w:val="00DA54D0"/>
    <w:rsid w:val="00DC4019"/>
    <w:rsid w:val="00DD589C"/>
    <w:rsid w:val="00DD709D"/>
    <w:rsid w:val="00E019D0"/>
    <w:rsid w:val="00E3338E"/>
    <w:rsid w:val="00E42641"/>
    <w:rsid w:val="00E72D4A"/>
    <w:rsid w:val="00ED627D"/>
    <w:rsid w:val="00EF057A"/>
    <w:rsid w:val="00F06DA3"/>
    <w:rsid w:val="00F5080A"/>
    <w:rsid w:val="00FB403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67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67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67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767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767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767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B51A8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67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67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767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767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767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767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B51A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cz" TargetMode="External"/><Relationship Id="rId13" Type="http://schemas.openxmlformats.org/officeDocument/2006/relationships/hyperlink" Target="mailto:press@msmt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ures@transparency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nsparency.cz/radim-bur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eta.haindlova@cafh.cz" TargetMode="External"/><Relationship Id="rId10" Type="http://schemas.openxmlformats.org/officeDocument/2006/relationships/hyperlink" Target="http://www.transparency.cz/transparentni-financovani-sport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parency.cz/global-corruption-report-sport/" TargetMode="External"/><Relationship Id="rId14" Type="http://schemas.openxmlformats.org/officeDocument/2006/relationships/hyperlink" Target="mailto:synecky@fotb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47</cp:revision>
  <cp:lastPrinted>2016-02-04T08:01:00Z</cp:lastPrinted>
  <dcterms:created xsi:type="dcterms:W3CDTF">2016-03-17T09:20:00Z</dcterms:created>
  <dcterms:modified xsi:type="dcterms:W3CDTF">2016-03-21T10:55:00Z</dcterms:modified>
</cp:coreProperties>
</file>