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A9" w:rsidRDefault="00E3308E" w:rsidP="00F82FA9">
      <w:pPr>
        <w:rPr>
          <w:b/>
        </w:rPr>
      </w:pPr>
      <w:r>
        <w:rPr>
          <w:b/>
        </w:rPr>
        <w:t xml:space="preserve">TISKOVÁ ZPRÁVA TI </w:t>
      </w:r>
    </w:p>
    <w:p w:rsidR="00F82FA9" w:rsidRDefault="002262AD" w:rsidP="007A307D">
      <w:pPr>
        <w:pStyle w:val="Vrazncitt"/>
        <w:pBdr>
          <w:bottom w:val="single" w:sz="4" w:space="3" w:color="4F81BD" w:themeColor="accent1"/>
        </w:pBdr>
        <w:spacing w:before="0" w:after="0" w:line="240" w:lineRule="auto"/>
        <w:ind w:left="0" w:right="26"/>
        <w:jc w:val="both"/>
        <w:rPr>
          <w:i w:val="0"/>
          <w:color w:val="0070C0"/>
          <w:sz w:val="28"/>
          <w:szCs w:val="28"/>
        </w:rPr>
      </w:pPr>
      <w:r>
        <w:rPr>
          <w:i w:val="0"/>
          <w:color w:val="0070C0"/>
          <w:sz w:val="28"/>
          <w:szCs w:val="28"/>
        </w:rPr>
        <w:t>První c</w:t>
      </w:r>
      <w:r w:rsidR="00DC0BBB">
        <w:rPr>
          <w:i w:val="0"/>
          <w:color w:val="0070C0"/>
          <w:sz w:val="28"/>
          <w:szCs w:val="28"/>
        </w:rPr>
        <w:t>hráněná dílna – práce všeho druhu</w:t>
      </w:r>
      <w:r w:rsidR="00284383">
        <w:rPr>
          <w:i w:val="0"/>
          <w:color w:val="0070C0"/>
          <w:sz w:val="28"/>
          <w:szCs w:val="28"/>
        </w:rPr>
        <w:t xml:space="preserve"> </w:t>
      </w:r>
    </w:p>
    <w:p w:rsidR="002262AD" w:rsidRPr="007A307D" w:rsidRDefault="002262AD" w:rsidP="007A307D">
      <w:pPr>
        <w:pStyle w:val="Nadpis2"/>
        <w:spacing w:before="0" w:line="240" w:lineRule="auto"/>
        <w:rPr>
          <w:rFonts w:asciiTheme="minorHAnsi" w:hAnsiTheme="minorHAnsi"/>
          <w:i/>
          <w:color w:val="0070C0"/>
        </w:rPr>
      </w:pPr>
      <w:r w:rsidRPr="007A307D">
        <w:rPr>
          <w:rFonts w:asciiTheme="minorHAnsi" w:hAnsiTheme="minorHAnsi"/>
          <w:color w:val="0070C0"/>
          <w:sz w:val="22"/>
        </w:rPr>
        <w:t xml:space="preserve">Nový zákon skončí zneužívání postižených pro kšeftování se zakázkami </w:t>
      </w:r>
      <w:r w:rsidR="00482503">
        <w:rPr>
          <w:rFonts w:asciiTheme="minorHAnsi" w:hAnsiTheme="minorHAnsi"/>
          <w:color w:val="0070C0"/>
          <w:sz w:val="22"/>
        </w:rPr>
        <w:t xml:space="preserve">a </w:t>
      </w:r>
      <w:r w:rsidRPr="007A307D">
        <w:rPr>
          <w:rFonts w:asciiTheme="minorHAnsi" w:hAnsiTheme="minorHAnsi"/>
          <w:color w:val="0070C0"/>
          <w:sz w:val="22"/>
        </w:rPr>
        <w:t>křivení trhu</w:t>
      </w:r>
    </w:p>
    <w:p w:rsidR="00822F66" w:rsidRPr="009B5C22" w:rsidRDefault="002262AD" w:rsidP="009B5C22">
      <w:pPr>
        <w:rPr>
          <w:b/>
          <w:color w:val="808080" w:themeColor="background1" w:themeShade="80"/>
          <w:sz w:val="28"/>
          <w:szCs w:val="28"/>
          <w:vertAlign w:val="superscript"/>
        </w:rPr>
      </w:pPr>
      <w:r>
        <w:rPr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D3B240" wp14:editId="476A0D87">
            <wp:simplePos x="0" y="0"/>
            <wp:positionH relativeFrom="column">
              <wp:posOffset>-4445</wp:posOffset>
            </wp:positionH>
            <wp:positionV relativeFrom="paragraph">
              <wp:posOffset>214630</wp:posOffset>
            </wp:positionV>
            <wp:extent cx="5753100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528" y="21524"/>
                <wp:lineTo x="21528" y="0"/>
                <wp:lineTo x="0" y="0"/>
              </wp:wrapPolygon>
            </wp:wrapTight>
            <wp:docPr id="2" name="Obrázek 2" descr="C:\Users\David\Desktop\První-chráněná-dílna-Google-Map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První-chráněná-dílna-Google-Map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F66" w:rsidRPr="009B5C22">
        <w:rPr>
          <w:b/>
          <w:color w:val="808080" w:themeColor="background1" w:themeShade="80"/>
          <w:sz w:val="28"/>
          <w:szCs w:val="28"/>
          <w:vertAlign w:val="superscript"/>
        </w:rPr>
        <w:t xml:space="preserve">První chráněná dílna Raisova 769/9 400 03 Ústí nad Labem | zdroj: </w:t>
      </w:r>
      <w:hyperlink r:id="rId11" w:history="1">
        <w:r w:rsidR="00822F66" w:rsidRPr="009B5C22">
          <w:rPr>
            <w:rStyle w:val="Hypertextovodkaz"/>
            <w:b/>
            <w:color w:val="808080" w:themeColor="background1" w:themeShade="80"/>
            <w:sz w:val="28"/>
            <w:szCs w:val="28"/>
            <w:vertAlign w:val="superscript"/>
          </w:rPr>
          <w:t>Google Maps</w:t>
        </w:r>
      </w:hyperlink>
    </w:p>
    <w:p w:rsidR="00E3308E" w:rsidRPr="00E3308E" w:rsidRDefault="00925E1B" w:rsidP="00E3308E">
      <w:pPr>
        <w:jc w:val="both"/>
        <w:rPr>
          <w:b/>
        </w:rPr>
      </w:pPr>
      <w:r>
        <w:rPr>
          <w:b/>
        </w:rPr>
        <w:t>Praha, 19</w:t>
      </w:r>
      <w:r w:rsidR="00630272">
        <w:rPr>
          <w:b/>
        </w:rPr>
        <w:t>. k</w:t>
      </w:r>
      <w:r w:rsidR="00E3308E" w:rsidRPr="00E3308E">
        <w:rPr>
          <w:b/>
        </w:rPr>
        <w:t>větna 2016</w:t>
      </w:r>
      <w:r w:rsidR="00630272">
        <w:rPr>
          <w:b/>
        </w:rPr>
        <w:t xml:space="preserve"> -</w:t>
      </w:r>
      <w:r w:rsidR="00E3308E" w:rsidRPr="00E3308E">
        <w:rPr>
          <w:b/>
        </w:rPr>
        <w:t xml:space="preserve"> Dodávka traktorů či roleb, dodávka plicních ventilátorů pro nemocnici, 120 ks počítačových souprav pro Českou národní banku, praní prádla pro psychiatrickou nemocnici či dodávka hnojiva. Přestože se jedná o velice rozličné předměty plnění, mají společného jmenovatele – jejich dodavatelem je</w:t>
      </w:r>
      <w:r w:rsidR="00E3308E" w:rsidRPr="00E3308E" w:rsidDel="00523E6C">
        <w:rPr>
          <w:b/>
        </w:rPr>
        <w:t xml:space="preserve"> </w:t>
      </w:r>
      <w:r w:rsidR="00E3308E" w:rsidRPr="00E3308E">
        <w:rPr>
          <w:b/>
        </w:rPr>
        <w:t xml:space="preserve">První chráněná dílna s.r.o. (více o </w:t>
      </w:r>
      <w:r w:rsidR="00DD53E4">
        <w:rPr>
          <w:b/>
        </w:rPr>
        <w:t xml:space="preserve">této </w:t>
      </w:r>
      <w:r w:rsidR="00E3308E" w:rsidRPr="00E3308E">
        <w:rPr>
          <w:b/>
        </w:rPr>
        <w:t>kauze</w:t>
      </w:r>
      <w:r w:rsidR="00DD53E4">
        <w:rPr>
          <w:b/>
        </w:rPr>
        <w:t xml:space="preserve">, které se TI věnuje od roku 2014, naleznete </w:t>
      </w:r>
      <w:hyperlink r:id="rId12" w:history="1">
        <w:r w:rsidR="00DD53E4" w:rsidRPr="00DD53E4">
          <w:rPr>
            <w:rStyle w:val="Hypertextovodkaz"/>
            <w:b/>
            <w:color w:val="0070C0"/>
          </w:rPr>
          <w:t>zde</w:t>
        </w:r>
      </w:hyperlink>
      <w:r w:rsidR="00E3308E" w:rsidRPr="00E3308E">
        <w:rPr>
          <w:b/>
        </w:rPr>
        <w:t>)</w:t>
      </w:r>
      <w:r w:rsidR="00DC0BBB">
        <w:rPr>
          <w:b/>
        </w:rPr>
        <w:t>.</w:t>
      </w:r>
    </w:p>
    <w:p w:rsidR="00E3308E" w:rsidRDefault="00E3308E" w:rsidP="00E3308E">
      <w:pPr>
        <w:jc w:val="both"/>
      </w:pPr>
      <w:r>
        <w:t xml:space="preserve">Od začátku letošního roku se První chráněná dílna zařadila do skupiny rekordmanů v počtu získaných zakázek. V období </w:t>
      </w:r>
      <w:r w:rsidRPr="0098356B">
        <w:rPr>
          <w:b/>
        </w:rPr>
        <w:t xml:space="preserve">od 1. 1. 2016 </w:t>
      </w:r>
      <w:r>
        <w:rPr>
          <w:b/>
        </w:rPr>
        <w:t>d</w:t>
      </w:r>
      <w:r w:rsidR="00A73C14">
        <w:rPr>
          <w:b/>
        </w:rPr>
        <w:t xml:space="preserve">o </w:t>
      </w:r>
      <w:r w:rsidRPr="0098356B">
        <w:rPr>
          <w:b/>
        </w:rPr>
        <w:t xml:space="preserve">18. 5. 2016 získala </w:t>
      </w:r>
      <w:r>
        <w:rPr>
          <w:b/>
        </w:rPr>
        <w:t>minimálně</w:t>
      </w:r>
      <w:r w:rsidRPr="0098356B">
        <w:rPr>
          <w:b/>
        </w:rPr>
        <w:t xml:space="preserve"> 51 zakázek</w:t>
      </w:r>
      <w:r>
        <w:rPr>
          <w:b/>
        </w:rPr>
        <w:t xml:space="preserve"> v celkové hodnotě</w:t>
      </w:r>
      <w:r w:rsidRPr="0098356B">
        <w:rPr>
          <w:b/>
        </w:rPr>
        <w:t xml:space="preserve"> téměř 14</w:t>
      </w:r>
      <w:r>
        <w:rPr>
          <w:b/>
        </w:rPr>
        <w:t>4</w:t>
      </w:r>
      <w:r w:rsidRPr="0098356B">
        <w:rPr>
          <w:b/>
        </w:rPr>
        <w:t xml:space="preserve"> milionů korun (143 850 000 korun)</w:t>
      </w:r>
      <w:r>
        <w:t>. Výčet zakázek, k jejichž plnění se zavázala, generuje stále pestřejší předměty plnění.</w:t>
      </w:r>
      <w:r w:rsidRPr="00D50314">
        <w:rPr>
          <w:i/>
        </w:rPr>
        <w:t xml:space="preserve"> </w:t>
      </w:r>
      <w:r w:rsidR="00DC0BBB" w:rsidRPr="00D50314">
        <w:rPr>
          <w:i/>
        </w:rPr>
        <w:t>„</w:t>
      </w:r>
      <w:r w:rsidRPr="00D50314">
        <w:rPr>
          <w:i/>
        </w:rPr>
        <w:t xml:space="preserve">První chráněná dílna v letošním roce rozšířila svojí působnost </w:t>
      </w:r>
      <w:r w:rsidR="00DC0BBB" w:rsidRPr="00D50314">
        <w:rPr>
          <w:i/>
        </w:rPr>
        <w:t xml:space="preserve">do tak </w:t>
      </w:r>
      <w:r w:rsidR="00D50314">
        <w:rPr>
          <w:i/>
        </w:rPr>
        <w:t>absurdních</w:t>
      </w:r>
      <w:r w:rsidR="00DC0BBB" w:rsidRPr="00D50314">
        <w:rPr>
          <w:i/>
        </w:rPr>
        <w:t xml:space="preserve"> rozměrů jako</w:t>
      </w:r>
      <w:r w:rsidRPr="00D50314">
        <w:rPr>
          <w:i/>
        </w:rPr>
        <w:t xml:space="preserve"> dodávky ocelových svodidel, impregnovaných kůlů či </w:t>
      </w:r>
      <w:r w:rsidR="00DC0BBB" w:rsidRPr="00D50314">
        <w:rPr>
          <w:i/>
        </w:rPr>
        <w:t xml:space="preserve">vrtacích systémů pro nemocnice“, </w:t>
      </w:r>
      <w:r w:rsidR="00DC0BBB">
        <w:t>říká analytik TI Milan Eibl.</w:t>
      </w:r>
      <w:r w:rsidR="00D50314">
        <w:t xml:space="preserve"> „</w:t>
      </w:r>
      <w:r w:rsidR="00D50314">
        <w:rPr>
          <w:i/>
        </w:rPr>
        <w:t>Do začátku účinnosti</w:t>
      </w:r>
      <w:r w:rsidR="001C28B3">
        <w:rPr>
          <w:i/>
        </w:rPr>
        <w:t xml:space="preserve"> nového zákona se dá předpokládat, že zbyde velice málo oblastí, kam První chrá</w:t>
      </w:r>
      <w:r w:rsidR="00861DF2">
        <w:rPr>
          <w:i/>
        </w:rPr>
        <w:t>něná dílna svou nabídku nepodá</w:t>
      </w:r>
      <w:r w:rsidR="00D50314">
        <w:t>,“ doplňuje.</w:t>
      </w:r>
      <w:r w:rsidR="00DC0BBB">
        <w:t xml:space="preserve"> </w:t>
      </w:r>
      <w:r>
        <w:t xml:space="preserve">Nový zákon o zadávání veřejných zakázek by </w:t>
      </w:r>
      <w:r w:rsidR="00D50314">
        <w:t xml:space="preserve">totiž </w:t>
      </w:r>
      <w:r>
        <w:t>měl tomuto modelu „zprostředkovatelského byznysu“ zabránit.</w:t>
      </w:r>
    </w:p>
    <w:p w:rsidR="009775CC" w:rsidRDefault="00E3308E" w:rsidP="00E3308E">
      <w:pPr>
        <w:jc w:val="both"/>
      </w:pPr>
      <w:r>
        <w:t>V  zákoně o zadávání veřejných zakáze</w:t>
      </w:r>
      <w:r w:rsidR="00C549A8">
        <w:t xml:space="preserve">k </w:t>
      </w:r>
      <w:r>
        <w:t xml:space="preserve">se otáčí role zadavatele v situaci, kdy bude chtít zapojit do zadávacího řízení chráněné dílny. Předchozí úprava automaticky zvýhodňovala takovou </w:t>
      </w:r>
      <w:r w:rsidR="00FB5835">
        <w:t>společnost</w:t>
      </w:r>
      <w:r>
        <w:t xml:space="preserve">, která se přihlásila do zadávacího řízení na </w:t>
      </w:r>
      <w:r w:rsidRPr="00996A6A">
        <w:rPr>
          <w:i/>
        </w:rPr>
        <w:t>podlimitní veřejnou zakázku</w:t>
      </w:r>
      <w:r>
        <w:t>, a předložila dokumenty prokazující, že zaměstnává určitý počet zdravotně postižených osob. V rámci hodnocení nabídek bylo zvýhodnění realizováno snížením hodnoty nabídky o 15</w:t>
      </w:r>
      <w:r w:rsidR="00827504">
        <w:t xml:space="preserve"> </w:t>
      </w:r>
      <w:r>
        <w:t xml:space="preserve">% (v případě získání zakázky však zadavatel zaplatil cenu původní). </w:t>
      </w:r>
    </w:p>
    <w:p w:rsidR="00E3308E" w:rsidRDefault="00E3308E" w:rsidP="00E3308E">
      <w:pPr>
        <w:jc w:val="both"/>
      </w:pPr>
      <w:r w:rsidRPr="007A307D">
        <w:rPr>
          <w:b/>
        </w:rPr>
        <w:lastRenderedPageBreak/>
        <w:t>Ačkoliv byly úmysly zákonodárce chvályhodné, reálný průběh zadá</w:t>
      </w:r>
      <w:r w:rsidR="00FB5835" w:rsidRPr="007A307D">
        <w:rPr>
          <w:b/>
        </w:rPr>
        <w:t>vacích řízení ukázal, že některé</w:t>
      </w:r>
      <w:r w:rsidRPr="007A307D">
        <w:rPr>
          <w:b/>
        </w:rPr>
        <w:t xml:space="preserve"> </w:t>
      </w:r>
      <w:r>
        <w:rPr>
          <w:b/>
        </w:rPr>
        <w:t xml:space="preserve">soukromé </w:t>
      </w:r>
      <w:r w:rsidR="00FB5835">
        <w:rPr>
          <w:b/>
        </w:rPr>
        <w:t>společnosti</w:t>
      </w:r>
      <w:r w:rsidR="00DC0BBB">
        <w:rPr>
          <w:b/>
        </w:rPr>
        <w:t xml:space="preserve"> si na tomto modelu vytvořily</w:t>
      </w:r>
      <w:r w:rsidRPr="006427E4">
        <w:rPr>
          <w:b/>
        </w:rPr>
        <w:t xml:space="preserve"> výnosný byznys</w:t>
      </w:r>
      <w:r w:rsidRPr="007A307D">
        <w:rPr>
          <w:b/>
        </w:rPr>
        <w:t>,</w:t>
      </w:r>
      <w:r w:rsidR="00FB5835" w:rsidRPr="007A307D">
        <w:rPr>
          <w:b/>
        </w:rPr>
        <w:t xml:space="preserve"> kde finanční prostředky plynuly třetím subjektům, které statu</w:t>
      </w:r>
      <w:r w:rsidR="009E2BF8">
        <w:rPr>
          <w:b/>
        </w:rPr>
        <w:t>s</w:t>
      </w:r>
      <w:r w:rsidR="00FB5835" w:rsidRPr="007A307D">
        <w:rPr>
          <w:b/>
        </w:rPr>
        <w:t>em chráněné dílny nedisponují</w:t>
      </w:r>
      <w:r w:rsidR="00DC0BBB" w:rsidRPr="007A307D">
        <w:rPr>
          <w:b/>
        </w:rPr>
        <w:t>.</w:t>
      </w:r>
      <w:r w:rsidR="00FB5835">
        <w:t xml:space="preserve"> U</w:t>
      </w:r>
      <w:r>
        <w:t xml:space="preserve">stanovení tak nesloužilo k primárnímu účelu, kterým bylo poskytnutí pomoci hendikepovaným občanům. </w:t>
      </w:r>
      <w:r w:rsidRPr="007A307D">
        <w:rPr>
          <w:b/>
        </w:rPr>
        <w:t xml:space="preserve">Naopak prostřednictvím chráněných dílen byla pokřivována </w:t>
      </w:r>
      <w:r w:rsidR="00FB5835" w:rsidRPr="007A307D">
        <w:rPr>
          <w:b/>
        </w:rPr>
        <w:t xml:space="preserve">veřejná </w:t>
      </w:r>
      <w:r w:rsidRPr="007A307D">
        <w:rPr>
          <w:b/>
        </w:rPr>
        <w:t>soutěž zneužitím</w:t>
      </w:r>
      <w:r w:rsidR="00FF593F">
        <w:rPr>
          <w:b/>
        </w:rPr>
        <w:t xml:space="preserve"> </w:t>
      </w:r>
      <w:r w:rsidRPr="007A307D">
        <w:rPr>
          <w:b/>
        </w:rPr>
        <w:t>výše uvedeného zvýhodnění</w:t>
      </w:r>
      <w:r>
        <w:t xml:space="preserve"> (viz.</w:t>
      </w:r>
      <w:r w:rsidR="009E2BF8">
        <w:t xml:space="preserve"> </w:t>
      </w:r>
      <w:hyperlink r:id="rId13" w:history="1">
        <w:r w:rsidRPr="00FF593F">
          <w:rPr>
            <w:rStyle w:val="Hypertextovodkaz"/>
            <w:color w:val="0070C0"/>
          </w:rPr>
          <w:t>www.transparency.cz/kauza-prvni-chranena-dilna</w:t>
        </w:r>
      </w:hyperlink>
      <w:r>
        <w:t>)</w:t>
      </w:r>
      <w:r w:rsidR="009E2BF8">
        <w:t>.</w:t>
      </w:r>
      <w:r>
        <w:t xml:space="preserve"> Nedokonalost zákona spočívala i v tom, že nebránil subdodavatelskému plnění jaké</w:t>
      </w:r>
      <w:r w:rsidR="00FB5835">
        <w:t>ho</w:t>
      </w:r>
      <w:r>
        <w:t>koli rozsahu, které</w:t>
      </w:r>
      <w:r w:rsidDel="00563F23">
        <w:t xml:space="preserve"> </w:t>
      </w:r>
      <w:r>
        <w:t xml:space="preserve">se v mnoha případech blížilo i 100 %. V praxi tak mohla chráněná dílna již do nabídky uvést, že zakázka bude plněna </w:t>
      </w:r>
      <w:r w:rsidR="00FB5835">
        <w:t xml:space="preserve">zcela </w:t>
      </w:r>
      <w:r>
        <w:t xml:space="preserve">subdodavatelsky, a to v celém objemu, přesto jí v rámci </w:t>
      </w:r>
      <w:r w:rsidR="00C549A8">
        <w:t xml:space="preserve">hodnocení zvýhodňovalo </w:t>
      </w:r>
      <w:r>
        <w:t>15</w:t>
      </w:r>
      <w:r w:rsidR="00C549A8">
        <w:t xml:space="preserve"> </w:t>
      </w:r>
      <w:r>
        <w:t>% snížení cenové nabídky.</w:t>
      </w:r>
    </w:p>
    <w:p w:rsidR="00C549A8" w:rsidRDefault="00E3308E" w:rsidP="00E3308E">
      <w:pPr>
        <w:jc w:val="both"/>
      </w:pPr>
      <w:r>
        <w:t>V novém zákoně je vyžadován aktivní přístup zadavatele, tedy zadavatel si musí předem vyhradit, zda bude zakázka určena chráněným dílnám, a do takového zadávacího řízení se mohou přihlásit je</w:t>
      </w:r>
      <w:r w:rsidR="00FB5835">
        <w:t>n dodavatelé s příslušným statu</w:t>
      </w:r>
      <w:r w:rsidR="009E2BF8">
        <w:t>s</w:t>
      </w:r>
      <w:r>
        <w:t xml:space="preserve">em. Zadavatel tak musí před zahájením zadávacího řízení zhodnotit, zda je veřejná zakázka, potažmo její předmět, vhodný k realizaci pro </w:t>
      </w:r>
      <w:r w:rsidR="00C549A8">
        <w:t xml:space="preserve">chráněné dílny. </w:t>
      </w:r>
      <w:r w:rsidR="00DC0BBB" w:rsidRPr="00284383">
        <w:rPr>
          <w:b/>
        </w:rPr>
        <w:t>„</w:t>
      </w:r>
      <w:r w:rsidR="00C549A8" w:rsidRPr="00284383">
        <w:rPr>
          <w:b/>
          <w:i/>
        </w:rPr>
        <w:t xml:space="preserve">TI </w:t>
      </w:r>
      <w:r w:rsidRPr="00284383">
        <w:rPr>
          <w:b/>
          <w:i/>
        </w:rPr>
        <w:t xml:space="preserve">kvituje tuto konkrétní systémovou změnu, kterou nový zákon přináší, neboť dojde k eliminaci negativní praxe, která jednak nepřinášela pomoc hendikepovaným osobám, ale navíc prodražovala plnění i veřejným zadavatelům, kteří byli často, s ohledem na předmět zakázky, účastí </w:t>
      </w:r>
      <w:r w:rsidR="00DC0BBB" w:rsidRPr="00284383">
        <w:rPr>
          <w:b/>
          <w:i/>
        </w:rPr>
        <w:t>první chráněné dílny překvapeni,“</w:t>
      </w:r>
      <w:r w:rsidR="00DC0BBB" w:rsidRPr="00DC0BBB">
        <w:rPr>
          <w:i/>
        </w:rPr>
        <w:t xml:space="preserve"> </w:t>
      </w:r>
      <w:r w:rsidR="00DC0BBB">
        <w:t>říká právnička TI Martina Mikolášková.</w:t>
      </w:r>
    </w:p>
    <w:p w:rsidR="00E3308E" w:rsidRPr="007A307D" w:rsidRDefault="00E3308E" w:rsidP="00E3308E">
      <w:pPr>
        <w:jc w:val="both"/>
        <w:rPr>
          <w:b/>
        </w:rPr>
      </w:pPr>
      <w:r w:rsidRPr="007A307D">
        <w:rPr>
          <w:b/>
        </w:rPr>
        <w:t>Případ První chráněné dílny je o to závažnější, že její majitel, Tomáš Horáček, je dlouhodobě vnímán jako kontroverzní figura spojovaná se severočeskou buňkou ČSSD. O jeho náchylnosti k nekalému jednání svědčí i skutečnost, že byl již v m</w:t>
      </w:r>
      <w:r w:rsidR="00C549A8" w:rsidRPr="007A307D">
        <w:rPr>
          <w:b/>
        </w:rPr>
        <w:t xml:space="preserve">inulosti pravomocně odsouzen a </w:t>
      </w:r>
      <w:r w:rsidRPr="007A307D">
        <w:rPr>
          <w:b/>
        </w:rPr>
        <w:t>potrestán podmíněným trestem za podvod.</w:t>
      </w:r>
    </w:p>
    <w:p w:rsidR="00E3308E" w:rsidRDefault="00E3308E" w:rsidP="00E3308E">
      <w:r>
        <w:t xml:space="preserve">Níže je uveden krátký přehled </w:t>
      </w:r>
      <w:r w:rsidR="00FB5835">
        <w:t xml:space="preserve">vybraných předmětů </w:t>
      </w:r>
      <w:r>
        <w:t>veřejných zakázek realizovaných První chráněnou dílnou s.r.o.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E3308E" w:rsidTr="009775CC">
        <w:tc>
          <w:tcPr>
            <w:tcW w:w="2962" w:type="dxa"/>
            <w:shd w:val="clear" w:color="auto" w:fill="0070C0"/>
          </w:tcPr>
          <w:p w:rsidR="00E3308E" w:rsidRPr="00E3308E" w:rsidRDefault="00E3308E" w:rsidP="006427E4">
            <w:pPr>
              <w:rPr>
                <w:b/>
                <w:color w:val="FFFFFF" w:themeColor="background1"/>
              </w:rPr>
            </w:pPr>
            <w:r w:rsidRPr="00E3308E">
              <w:rPr>
                <w:b/>
                <w:color w:val="FFFFFF" w:themeColor="background1"/>
              </w:rPr>
              <w:t>Název veřejné zakázky</w:t>
            </w:r>
          </w:p>
        </w:tc>
        <w:tc>
          <w:tcPr>
            <w:tcW w:w="3071" w:type="dxa"/>
            <w:shd w:val="clear" w:color="auto" w:fill="0070C0"/>
          </w:tcPr>
          <w:p w:rsidR="00E3308E" w:rsidRPr="00E3308E" w:rsidRDefault="00E3308E" w:rsidP="006427E4">
            <w:pPr>
              <w:rPr>
                <w:b/>
                <w:color w:val="FFFFFF" w:themeColor="background1"/>
              </w:rPr>
            </w:pPr>
            <w:r w:rsidRPr="00E3308E">
              <w:rPr>
                <w:b/>
                <w:color w:val="FFFFFF" w:themeColor="background1"/>
              </w:rPr>
              <w:t>Cena veřejné zakázky</w:t>
            </w:r>
          </w:p>
        </w:tc>
        <w:tc>
          <w:tcPr>
            <w:tcW w:w="3071" w:type="dxa"/>
            <w:shd w:val="clear" w:color="auto" w:fill="0070C0"/>
          </w:tcPr>
          <w:p w:rsidR="00E3308E" w:rsidRPr="00E3308E" w:rsidRDefault="00E3308E" w:rsidP="006427E4">
            <w:pPr>
              <w:rPr>
                <w:b/>
                <w:color w:val="FFFFFF" w:themeColor="background1"/>
              </w:rPr>
            </w:pPr>
            <w:r w:rsidRPr="00E3308E">
              <w:rPr>
                <w:b/>
                <w:color w:val="FFFFFF" w:themeColor="background1"/>
              </w:rPr>
              <w:t>Zadavatel</w:t>
            </w:r>
          </w:p>
        </w:tc>
      </w:tr>
      <w:tr w:rsidR="00E3308E" w:rsidTr="009775CC">
        <w:tc>
          <w:tcPr>
            <w:tcW w:w="2962" w:type="dxa"/>
          </w:tcPr>
          <w:p w:rsidR="00E3308E" w:rsidRDefault="00E3308E" w:rsidP="006427E4">
            <w:r>
              <w:t>Plazmový sterilizátor</w:t>
            </w:r>
          </w:p>
        </w:tc>
        <w:tc>
          <w:tcPr>
            <w:tcW w:w="3071" w:type="dxa"/>
          </w:tcPr>
          <w:p w:rsidR="00E3308E" w:rsidRDefault="00E3308E" w:rsidP="006427E4">
            <w:r>
              <w:t>2 233 961,-</w:t>
            </w:r>
          </w:p>
        </w:tc>
        <w:tc>
          <w:tcPr>
            <w:tcW w:w="3071" w:type="dxa"/>
          </w:tcPr>
          <w:p w:rsidR="00E3308E" w:rsidRDefault="00E3308E" w:rsidP="006427E4">
            <w:r>
              <w:t>Institut klinické a experimentální medicíny</w:t>
            </w:r>
          </w:p>
        </w:tc>
      </w:tr>
      <w:tr w:rsidR="00E3308E" w:rsidTr="009775CC">
        <w:tc>
          <w:tcPr>
            <w:tcW w:w="2962" w:type="dxa"/>
          </w:tcPr>
          <w:p w:rsidR="00E3308E" w:rsidRDefault="00E3308E" w:rsidP="006427E4">
            <w:r>
              <w:t>Dodávka ocelových svodidel</w:t>
            </w:r>
          </w:p>
        </w:tc>
        <w:tc>
          <w:tcPr>
            <w:tcW w:w="3071" w:type="dxa"/>
          </w:tcPr>
          <w:p w:rsidR="00E3308E" w:rsidRDefault="00E3308E" w:rsidP="006427E4">
            <w:r>
              <w:t>5 700 000,-</w:t>
            </w:r>
          </w:p>
        </w:tc>
        <w:tc>
          <w:tcPr>
            <w:tcW w:w="3071" w:type="dxa"/>
          </w:tcPr>
          <w:p w:rsidR="00E3308E" w:rsidRDefault="00E3308E" w:rsidP="006427E4">
            <w:r>
              <w:t>Správa silnic Olomouckého kraje</w:t>
            </w:r>
          </w:p>
        </w:tc>
      </w:tr>
      <w:tr w:rsidR="00E3308E" w:rsidTr="009775CC">
        <w:tc>
          <w:tcPr>
            <w:tcW w:w="2962" w:type="dxa"/>
          </w:tcPr>
          <w:p w:rsidR="00E3308E" w:rsidRDefault="00E3308E" w:rsidP="006427E4">
            <w:r>
              <w:t>Dodávka 120 ks PC soustav</w:t>
            </w:r>
          </w:p>
        </w:tc>
        <w:tc>
          <w:tcPr>
            <w:tcW w:w="3071" w:type="dxa"/>
          </w:tcPr>
          <w:p w:rsidR="00E3308E" w:rsidRDefault="00E3308E" w:rsidP="006427E4">
            <w:r>
              <w:t>2 544 000,-</w:t>
            </w:r>
          </w:p>
        </w:tc>
        <w:tc>
          <w:tcPr>
            <w:tcW w:w="3071" w:type="dxa"/>
          </w:tcPr>
          <w:p w:rsidR="00E3308E" w:rsidRDefault="00E3308E" w:rsidP="006427E4">
            <w:r>
              <w:t>Česká národní banka</w:t>
            </w:r>
          </w:p>
        </w:tc>
      </w:tr>
      <w:tr w:rsidR="00E3308E" w:rsidTr="009775CC">
        <w:tc>
          <w:tcPr>
            <w:tcW w:w="2962" w:type="dxa"/>
          </w:tcPr>
          <w:p w:rsidR="00E3308E" w:rsidRDefault="00E3308E" w:rsidP="006427E4">
            <w:r>
              <w:t>Podpora licencí Oracle</w:t>
            </w:r>
          </w:p>
        </w:tc>
        <w:tc>
          <w:tcPr>
            <w:tcW w:w="3071" w:type="dxa"/>
          </w:tcPr>
          <w:p w:rsidR="00E3308E" w:rsidRDefault="00E3308E" w:rsidP="006427E4">
            <w:r>
              <w:t>4 112 000,-</w:t>
            </w:r>
          </w:p>
        </w:tc>
        <w:tc>
          <w:tcPr>
            <w:tcW w:w="3071" w:type="dxa"/>
          </w:tcPr>
          <w:p w:rsidR="00E3308E" w:rsidRDefault="00E3308E" w:rsidP="006427E4">
            <w:r>
              <w:t>Česká průmyslová zdravotní pojišťovna</w:t>
            </w:r>
          </w:p>
        </w:tc>
      </w:tr>
      <w:tr w:rsidR="00E3308E" w:rsidTr="009775CC">
        <w:tc>
          <w:tcPr>
            <w:tcW w:w="2962" w:type="dxa"/>
          </w:tcPr>
          <w:p w:rsidR="00E3308E" w:rsidRDefault="00E3308E" w:rsidP="006427E4">
            <w:r>
              <w:t>Poskytnutí a provoz vyvolávacího systému II</w:t>
            </w:r>
          </w:p>
        </w:tc>
        <w:tc>
          <w:tcPr>
            <w:tcW w:w="3071" w:type="dxa"/>
          </w:tcPr>
          <w:p w:rsidR="00E3308E" w:rsidRDefault="00E3308E" w:rsidP="006427E4">
            <w:r>
              <w:t>3 389 000,-</w:t>
            </w:r>
          </w:p>
        </w:tc>
        <w:tc>
          <w:tcPr>
            <w:tcW w:w="3071" w:type="dxa"/>
          </w:tcPr>
          <w:p w:rsidR="00E3308E" w:rsidRDefault="00E3308E" w:rsidP="006427E4">
            <w:r>
              <w:t>Nemocnice na Bulovce</w:t>
            </w:r>
          </w:p>
        </w:tc>
      </w:tr>
    </w:tbl>
    <w:p w:rsidR="00E3308E" w:rsidRDefault="00E3308E" w:rsidP="00E3308E"/>
    <w:p w:rsidR="00F82FA9" w:rsidRPr="00361FBB" w:rsidRDefault="00F82FA9" w:rsidP="00F82FA9">
      <w:pPr>
        <w:rPr>
          <w:b/>
          <w:u w:val="single"/>
        </w:rPr>
      </w:pPr>
      <w:r w:rsidRPr="00361FBB">
        <w:rPr>
          <w:b/>
          <w:u w:val="single"/>
        </w:rPr>
        <w:t>Kontakt pro média:</w:t>
      </w:r>
    </w:p>
    <w:p w:rsidR="00E3308E" w:rsidRDefault="00534E43" w:rsidP="00F82FA9">
      <w:pPr>
        <w:spacing w:after="0"/>
      </w:pPr>
      <w:hyperlink r:id="rId14" w:history="1">
        <w:r w:rsidR="00E3308E" w:rsidRPr="00E3308E">
          <w:rPr>
            <w:rStyle w:val="Hypertextovodkaz"/>
            <w:b/>
            <w:color w:val="0070C0"/>
          </w:rPr>
          <w:t>Milan Eibl</w:t>
        </w:r>
      </w:hyperlink>
      <w:r w:rsidR="009775CC">
        <w:t>, a</w:t>
      </w:r>
      <w:r w:rsidR="00E3308E">
        <w:t>nalytika a investigativa</w:t>
      </w:r>
    </w:p>
    <w:p w:rsidR="00F82FA9" w:rsidRDefault="00901A78" w:rsidP="00F82FA9">
      <w:pPr>
        <w:spacing w:after="0"/>
      </w:pPr>
      <w:r>
        <w:t>Tel.</w:t>
      </w:r>
      <w:bookmarkStart w:id="0" w:name="_GoBack"/>
      <w:bookmarkEnd w:id="0"/>
      <w:r w:rsidR="00F82FA9">
        <w:t xml:space="preserve">: </w:t>
      </w:r>
      <w:r w:rsidR="00E3308E" w:rsidRPr="00E3308E">
        <w:t>+420 224 240 895</w:t>
      </w:r>
    </w:p>
    <w:p w:rsidR="00A53006" w:rsidRPr="00026D61" w:rsidRDefault="00F82FA9" w:rsidP="009775CC">
      <w:pPr>
        <w:spacing w:after="0"/>
      </w:pPr>
      <w:r>
        <w:t xml:space="preserve">E-mail: </w:t>
      </w:r>
      <w:hyperlink r:id="rId15" w:history="1">
        <w:r w:rsidR="00E3308E" w:rsidRPr="00E3308E">
          <w:rPr>
            <w:rStyle w:val="Hypertextovodkaz"/>
            <w:color w:val="0070C0"/>
          </w:rPr>
          <w:t>eibl@transparency.cz</w:t>
        </w:r>
      </w:hyperlink>
      <w:r w:rsidR="00E3308E" w:rsidRPr="00E3308E">
        <w:rPr>
          <w:rStyle w:val="Hypertextovodkaz"/>
          <w:b/>
          <w:color w:val="0070C0"/>
        </w:rPr>
        <w:t xml:space="preserve"> </w:t>
      </w:r>
      <w:r w:rsidR="00026D61">
        <w:tab/>
      </w:r>
    </w:p>
    <w:sectPr w:rsidR="00A53006" w:rsidRPr="00026D61" w:rsidSect="00D911B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43" w:rsidRDefault="00534E43" w:rsidP="00A53006">
      <w:pPr>
        <w:spacing w:after="0" w:line="240" w:lineRule="auto"/>
      </w:pPr>
      <w:r>
        <w:separator/>
      </w:r>
    </w:p>
  </w:endnote>
  <w:endnote w:type="continuationSeparator" w:id="0">
    <w:p w:rsidR="00534E43" w:rsidRDefault="00534E43" w:rsidP="00A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6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13B95" w:rsidRPr="00786744" w:rsidRDefault="00913B95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901A78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901A78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Transparency International - Česká republika, o. p. s. | Sokolovská 260/143, 180 00 Praha 8, Česká republika | </w:t>
    </w: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43" w:rsidRDefault="00534E43" w:rsidP="00A53006">
      <w:pPr>
        <w:spacing w:after="0" w:line="240" w:lineRule="auto"/>
      </w:pPr>
      <w:r>
        <w:separator/>
      </w:r>
    </w:p>
  </w:footnote>
  <w:footnote w:type="continuationSeparator" w:id="0">
    <w:p w:rsidR="00534E43" w:rsidRDefault="00534E43" w:rsidP="00A5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  <w:p w:rsidR="00D11651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  <w:p w:rsidR="00D11651" w:rsidRPr="002E4134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A4C"/>
    <w:multiLevelType w:val="hybridMultilevel"/>
    <w:tmpl w:val="CEF07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7432"/>
    <w:multiLevelType w:val="hybridMultilevel"/>
    <w:tmpl w:val="02C8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2A54"/>
    <w:multiLevelType w:val="hybridMultilevel"/>
    <w:tmpl w:val="AC5A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 Eibl">
    <w15:presenceInfo w15:providerId="Windows Live" w15:userId="6ea39c2afda38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6BB"/>
    <w:rsid w:val="00026D61"/>
    <w:rsid w:val="000512C5"/>
    <w:rsid w:val="000911EA"/>
    <w:rsid w:val="000B6653"/>
    <w:rsid w:val="001161FB"/>
    <w:rsid w:val="0012161D"/>
    <w:rsid w:val="00153CBE"/>
    <w:rsid w:val="001C28B3"/>
    <w:rsid w:val="001C2F3A"/>
    <w:rsid w:val="001D67A9"/>
    <w:rsid w:val="002262AD"/>
    <w:rsid w:val="00284383"/>
    <w:rsid w:val="002A500E"/>
    <w:rsid w:val="002C5121"/>
    <w:rsid w:val="002E003D"/>
    <w:rsid w:val="002E3965"/>
    <w:rsid w:val="002E4134"/>
    <w:rsid w:val="003557CE"/>
    <w:rsid w:val="00361D11"/>
    <w:rsid w:val="003802BC"/>
    <w:rsid w:val="003C1168"/>
    <w:rsid w:val="00445F84"/>
    <w:rsid w:val="0046066B"/>
    <w:rsid w:val="004730DD"/>
    <w:rsid w:val="00482503"/>
    <w:rsid w:val="00534E43"/>
    <w:rsid w:val="00585C70"/>
    <w:rsid w:val="00590AF9"/>
    <w:rsid w:val="0059231E"/>
    <w:rsid w:val="005C096E"/>
    <w:rsid w:val="00604580"/>
    <w:rsid w:val="00630272"/>
    <w:rsid w:val="0063674F"/>
    <w:rsid w:val="006538FF"/>
    <w:rsid w:val="006866C3"/>
    <w:rsid w:val="006D5F8E"/>
    <w:rsid w:val="0073457A"/>
    <w:rsid w:val="00734D21"/>
    <w:rsid w:val="0074299F"/>
    <w:rsid w:val="00786744"/>
    <w:rsid w:val="00794E63"/>
    <w:rsid w:val="007A307D"/>
    <w:rsid w:val="007C6326"/>
    <w:rsid w:val="007F1DED"/>
    <w:rsid w:val="00811415"/>
    <w:rsid w:val="00817E07"/>
    <w:rsid w:val="00822F66"/>
    <w:rsid w:val="00827504"/>
    <w:rsid w:val="00861DF2"/>
    <w:rsid w:val="00897CED"/>
    <w:rsid w:val="008E38C9"/>
    <w:rsid w:val="00901A78"/>
    <w:rsid w:val="00913B95"/>
    <w:rsid w:val="00925E1B"/>
    <w:rsid w:val="00960D2E"/>
    <w:rsid w:val="00966C16"/>
    <w:rsid w:val="009775CC"/>
    <w:rsid w:val="009904E2"/>
    <w:rsid w:val="009B5C22"/>
    <w:rsid w:val="009C5A0A"/>
    <w:rsid w:val="009E0E5D"/>
    <w:rsid w:val="009E25D9"/>
    <w:rsid w:val="009E2BF8"/>
    <w:rsid w:val="00A0454F"/>
    <w:rsid w:val="00A128BA"/>
    <w:rsid w:val="00A53006"/>
    <w:rsid w:val="00A722CF"/>
    <w:rsid w:val="00A73C14"/>
    <w:rsid w:val="00A8010B"/>
    <w:rsid w:val="00AD7390"/>
    <w:rsid w:val="00AE645C"/>
    <w:rsid w:val="00AF1629"/>
    <w:rsid w:val="00B50FC3"/>
    <w:rsid w:val="00B61BB5"/>
    <w:rsid w:val="00B92DED"/>
    <w:rsid w:val="00B97711"/>
    <w:rsid w:val="00BC3AC6"/>
    <w:rsid w:val="00C0236C"/>
    <w:rsid w:val="00C23101"/>
    <w:rsid w:val="00C549A8"/>
    <w:rsid w:val="00C8793C"/>
    <w:rsid w:val="00CA72FB"/>
    <w:rsid w:val="00CE7B0C"/>
    <w:rsid w:val="00D11651"/>
    <w:rsid w:val="00D50314"/>
    <w:rsid w:val="00D82038"/>
    <w:rsid w:val="00D911B1"/>
    <w:rsid w:val="00DB2766"/>
    <w:rsid w:val="00DC0BBB"/>
    <w:rsid w:val="00DD53E4"/>
    <w:rsid w:val="00E06635"/>
    <w:rsid w:val="00E3308E"/>
    <w:rsid w:val="00E3338E"/>
    <w:rsid w:val="00E65C42"/>
    <w:rsid w:val="00E77E44"/>
    <w:rsid w:val="00E8101F"/>
    <w:rsid w:val="00EA1381"/>
    <w:rsid w:val="00EA7258"/>
    <w:rsid w:val="00EB2718"/>
    <w:rsid w:val="00EB7DF8"/>
    <w:rsid w:val="00EC3843"/>
    <w:rsid w:val="00F82FA9"/>
    <w:rsid w:val="00F87BCD"/>
    <w:rsid w:val="00FB5835"/>
    <w:rsid w:val="00FD0C1A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3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3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nsparency.cz/kauza-prvni-chranena-diln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cy.cz/kauza-prvni-chranena-diln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z/maps?ion=1&amp;espv=2&amp;q=Raisova+769/9+400+03+%C3%9Ast%C3%AD+nad+Labem&amp;bav=on.2,or.r_cp.&amp;biw=1600&amp;bih=731&amp;dpr=1&amp;um=1&amp;ie=UTF-8&amp;sa=X&amp;ved=0ahUKEwiQqO2E2uXMAhVB7BQKHTC-DhYQ_AUIBigB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ibl@transparency.cz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z/maps?ion=1&amp;espv=2&amp;q=Raisova+769/9+400+03+%C3%9Ast%C3%AD+nad+Labem&amp;bav=on.2,or.r_cp.&amp;biw=1600&amp;bih=731&amp;dpr=1&amp;um=1&amp;ie=UTF-8&amp;sa=X&amp;ved=0ahUKEwiQqO2E2uXMAhVB7BQKHTC-DhYQ_AUIBigB" TargetMode="External"/><Relationship Id="rId14" Type="http://schemas.openxmlformats.org/officeDocument/2006/relationships/hyperlink" Target="https://www.transparency.cz/milan-eib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8EBE6B-F5C2-4FCA-86D2-F41417D1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Apollo</cp:lastModifiedBy>
  <cp:revision>12</cp:revision>
  <cp:lastPrinted>2015-04-27T06:57:00Z</cp:lastPrinted>
  <dcterms:created xsi:type="dcterms:W3CDTF">2016-05-19T09:23:00Z</dcterms:created>
  <dcterms:modified xsi:type="dcterms:W3CDTF">2016-05-19T12:32:00Z</dcterms:modified>
</cp:coreProperties>
</file>