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3BFE4" w14:textId="77777777" w:rsidR="004D156B" w:rsidRDefault="004D156B" w:rsidP="004D156B">
      <w:pPr>
        <w:rPr>
          <w:rFonts w:asciiTheme="majorHAnsi" w:hAnsiTheme="majorHAnsi"/>
          <w:b/>
          <w:sz w:val="36"/>
          <w:szCs w:val="36"/>
          <w:vertAlign w:val="superscript"/>
        </w:rPr>
      </w:pPr>
    </w:p>
    <w:p w14:paraId="7DCC9C23" w14:textId="77777777" w:rsidR="004D156B" w:rsidRDefault="004D156B" w:rsidP="004D156B">
      <w:pPr>
        <w:rPr>
          <w:rFonts w:asciiTheme="majorHAnsi" w:hAnsiTheme="majorHAnsi"/>
          <w:b/>
          <w:sz w:val="32"/>
          <w:szCs w:val="32"/>
          <w:vertAlign w:val="superscript"/>
        </w:rPr>
      </w:pPr>
      <w:r w:rsidRPr="004D156B">
        <w:rPr>
          <w:rFonts w:asciiTheme="majorHAnsi" w:hAnsiTheme="majorHAnsi"/>
          <w:b/>
          <w:sz w:val="32"/>
          <w:szCs w:val="32"/>
          <w:vertAlign w:val="superscript"/>
        </w:rPr>
        <w:t xml:space="preserve">TISKOVÁ ZPRÁVA TI </w:t>
      </w:r>
    </w:p>
    <w:p w14:paraId="5315729B" w14:textId="77777777" w:rsidR="004D156B" w:rsidRPr="004D156B" w:rsidRDefault="004D156B" w:rsidP="004D156B">
      <w:pPr>
        <w:rPr>
          <w:rFonts w:asciiTheme="majorHAnsi" w:hAnsiTheme="majorHAnsi"/>
          <w:b/>
          <w:sz w:val="32"/>
          <w:szCs w:val="32"/>
          <w:vertAlign w:val="superscript"/>
        </w:rPr>
      </w:pPr>
    </w:p>
    <w:p w14:paraId="2D8EDF28" w14:textId="77777777" w:rsidR="004D156B" w:rsidRPr="004D156B" w:rsidRDefault="004D156B" w:rsidP="004D156B">
      <w:pPr>
        <w:pStyle w:val="Nzev"/>
        <w:rPr>
          <w:color w:val="0070C0"/>
          <w:sz w:val="40"/>
          <w:szCs w:val="40"/>
        </w:rPr>
      </w:pPr>
      <w:r w:rsidRPr="004D156B">
        <w:rPr>
          <w:b/>
          <w:noProof/>
          <w:sz w:val="40"/>
          <w:szCs w:val="40"/>
          <w:lang w:eastAsia="cs-CZ"/>
        </w:rPr>
        <w:drawing>
          <wp:anchor distT="0" distB="0" distL="114300" distR="114300" simplePos="0" relativeHeight="251659264" behindDoc="1" locked="0" layoutInCell="1" allowOverlap="1" wp14:anchorId="7D0DDFDD" wp14:editId="18522397">
            <wp:simplePos x="0" y="0"/>
            <wp:positionH relativeFrom="column">
              <wp:posOffset>2540</wp:posOffset>
            </wp:positionH>
            <wp:positionV relativeFrom="paragraph">
              <wp:posOffset>506730</wp:posOffset>
            </wp:positionV>
            <wp:extent cx="5759450" cy="4322445"/>
            <wp:effectExtent l="0" t="0" r="0" b="1905"/>
            <wp:wrapTight wrapText="bothSides">
              <wp:wrapPolygon edited="0">
                <wp:start x="0" y="0"/>
                <wp:lineTo x="0" y="21514"/>
                <wp:lineTo x="21505" y="21514"/>
                <wp:lineTo x="21505" y="0"/>
                <wp:lineTo x="0" y="0"/>
              </wp:wrapPolygon>
            </wp:wrapTight>
            <wp:docPr id="1" name="Obrázek 1" descr="C:\Users\David\Desktop\Protikorupční rok 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Desktop\Protikorupční rok 201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4322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156B">
        <w:rPr>
          <w:color w:val="0070C0"/>
          <w:sz w:val="40"/>
          <w:szCs w:val="40"/>
        </w:rPr>
        <w:t>Protikorupční rok 2015?</w:t>
      </w:r>
    </w:p>
    <w:p w14:paraId="5D13BF58" w14:textId="77777777" w:rsidR="004D156B" w:rsidRDefault="004D156B" w:rsidP="004D156B">
      <w:pPr>
        <w:rPr>
          <w:rFonts w:asciiTheme="majorHAnsi" w:hAnsiTheme="majorHAnsi"/>
          <w:color w:val="808080" w:themeColor="background1" w:themeShade="80"/>
          <w:sz w:val="28"/>
          <w:szCs w:val="28"/>
          <w:vertAlign w:val="superscript"/>
        </w:rPr>
      </w:pPr>
      <w:r w:rsidRPr="004D156B">
        <w:rPr>
          <w:rFonts w:asciiTheme="majorHAnsi" w:hAnsiTheme="majorHAnsi"/>
          <w:color w:val="808080" w:themeColor="background1" w:themeShade="80"/>
          <w:sz w:val="28"/>
          <w:szCs w:val="28"/>
          <w:vertAlign w:val="superscript"/>
        </w:rPr>
        <w:t>*Známkování reflektuje subjektivní hodnocení Transparency International – Česká republika o. p. s | zdroj: TI</w:t>
      </w:r>
    </w:p>
    <w:p w14:paraId="1CD29858" w14:textId="77777777" w:rsidR="000D23BA" w:rsidRPr="004D156B" w:rsidRDefault="000D23BA" w:rsidP="004D156B">
      <w:pPr>
        <w:rPr>
          <w:rFonts w:asciiTheme="majorHAnsi" w:hAnsiTheme="majorHAnsi"/>
          <w:color w:val="808080" w:themeColor="background1" w:themeShade="80"/>
          <w:sz w:val="28"/>
          <w:szCs w:val="28"/>
          <w:vertAlign w:val="superscript"/>
        </w:rPr>
      </w:pPr>
    </w:p>
    <w:p w14:paraId="59A08D8D" w14:textId="1AE07966" w:rsidR="004D156B" w:rsidRDefault="004D156B" w:rsidP="004D156B">
      <w:pPr>
        <w:rPr>
          <w:rFonts w:asciiTheme="majorHAnsi" w:hAnsiTheme="majorHAnsi"/>
          <w:b/>
        </w:rPr>
      </w:pPr>
      <w:r w:rsidRPr="004D156B">
        <w:rPr>
          <w:rFonts w:asciiTheme="majorHAnsi" w:hAnsiTheme="majorHAnsi"/>
          <w:b/>
        </w:rPr>
        <w:t>Praha 9. Prosince 2015 – V rámci Mezinárodní</w:t>
      </w:r>
      <w:r w:rsidR="000D23BA">
        <w:rPr>
          <w:rFonts w:asciiTheme="majorHAnsi" w:hAnsiTheme="majorHAnsi"/>
          <w:b/>
        </w:rPr>
        <w:t>ho</w:t>
      </w:r>
      <w:r w:rsidRPr="004D156B">
        <w:rPr>
          <w:rFonts w:asciiTheme="majorHAnsi" w:hAnsiTheme="majorHAnsi"/>
          <w:b/>
        </w:rPr>
        <w:t xml:space="preserve"> dne boje proti korupci, který připadá na dnešní den</w:t>
      </w:r>
      <w:r w:rsidR="000D23BA">
        <w:rPr>
          <w:rFonts w:asciiTheme="majorHAnsi" w:hAnsiTheme="majorHAnsi"/>
          <w:b/>
        </w:rPr>
        <w:t>,</w:t>
      </w:r>
      <w:r w:rsidRPr="004D156B">
        <w:rPr>
          <w:rFonts w:asciiTheme="majorHAnsi" w:hAnsiTheme="majorHAnsi"/>
          <w:b/>
        </w:rPr>
        <w:t xml:space="preserve"> Transparency International</w:t>
      </w:r>
      <w:r w:rsidR="000D23BA">
        <w:rPr>
          <w:rFonts w:asciiTheme="majorHAnsi" w:hAnsiTheme="majorHAnsi"/>
          <w:b/>
        </w:rPr>
        <w:t xml:space="preserve"> </w:t>
      </w:r>
      <w:r w:rsidRPr="004D156B">
        <w:rPr>
          <w:rFonts w:asciiTheme="majorHAnsi" w:hAnsiTheme="majorHAnsi"/>
          <w:b/>
        </w:rPr>
        <w:t xml:space="preserve">- Česká republika, o. p. s. přináší </w:t>
      </w:r>
      <w:r w:rsidR="000D23BA">
        <w:rPr>
          <w:rFonts w:asciiTheme="majorHAnsi" w:hAnsiTheme="majorHAnsi"/>
          <w:b/>
        </w:rPr>
        <w:t xml:space="preserve">shrnutí a hodnocení toho nejpodstatnějšího, co se </w:t>
      </w:r>
      <w:r w:rsidR="008B54CB">
        <w:rPr>
          <w:rFonts w:asciiTheme="majorHAnsi" w:hAnsiTheme="majorHAnsi"/>
          <w:b/>
        </w:rPr>
        <w:t>za uplynulý rok 2015 na tomto poli odehrálo.</w:t>
      </w:r>
    </w:p>
    <w:p w14:paraId="222C068A" w14:textId="77777777" w:rsidR="004D156B" w:rsidRPr="004D156B" w:rsidRDefault="004D156B" w:rsidP="004D156B">
      <w:pPr>
        <w:rPr>
          <w:rFonts w:asciiTheme="majorHAnsi" w:hAnsiTheme="majorHAnsi"/>
          <w:b/>
        </w:rPr>
      </w:pPr>
    </w:p>
    <w:p w14:paraId="7F633A5A" w14:textId="77777777" w:rsidR="004D156B" w:rsidRDefault="004D156B" w:rsidP="004D156B">
      <w:pPr>
        <w:rPr>
          <w:rFonts w:asciiTheme="majorHAnsi" w:hAnsiTheme="majorHAnsi"/>
          <w:b/>
        </w:rPr>
      </w:pPr>
      <w:r w:rsidRPr="004D156B">
        <w:rPr>
          <w:rFonts w:asciiTheme="majorHAnsi" w:hAnsiTheme="majorHAnsi"/>
          <w:b/>
        </w:rPr>
        <w:t>Protikorupční legislativa – vláda úkoly plní, ale v Parlamentu to vázne</w:t>
      </w:r>
    </w:p>
    <w:p w14:paraId="0E0395D5" w14:textId="77777777" w:rsidR="004D156B" w:rsidRPr="004D156B" w:rsidRDefault="004D156B" w:rsidP="004D156B">
      <w:pPr>
        <w:rPr>
          <w:rFonts w:asciiTheme="majorHAnsi" w:hAnsiTheme="majorHAnsi"/>
          <w:b/>
        </w:rPr>
      </w:pPr>
    </w:p>
    <w:p w14:paraId="1CC290A0" w14:textId="77777777" w:rsidR="004D156B" w:rsidRDefault="004D156B" w:rsidP="004D156B">
      <w:pPr>
        <w:rPr>
          <w:rFonts w:asciiTheme="majorHAnsi" w:hAnsiTheme="majorHAnsi"/>
        </w:rPr>
      </w:pPr>
      <w:r w:rsidRPr="004D156B">
        <w:rPr>
          <w:rFonts w:asciiTheme="majorHAnsi" w:hAnsiTheme="majorHAnsi"/>
        </w:rPr>
        <w:t xml:space="preserve">Řada důležitých právních norem byla připravena, ale jejich schvalování v Parlamentu vázne. Velkým úspěchem je přijetí </w:t>
      </w:r>
      <w:r w:rsidRPr="004D156B">
        <w:rPr>
          <w:rFonts w:asciiTheme="majorHAnsi" w:hAnsiTheme="majorHAnsi"/>
          <w:b/>
        </w:rPr>
        <w:t>zákona o registru smluv</w:t>
      </w:r>
      <w:r w:rsidRPr="004D156B">
        <w:rPr>
          <w:rFonts w:asciiTheme="majorHAnsi" w:hAnsiTheme="majorHAnsi"/>
        </w:rPr>
        <w:t>.  Na parlamentní půdě je to úspěch však jediný.</w:t>
      </w:r>
    </w:p>
    <w:p w14:paraId="3A97BA9C" w14:textId="77777777" w:rsidR="004D156B" w:rsidRPr="004D156B" w:rsidRDefault="004D156B" w:rsidP="004D156B">
      <w:pPr>
        <w:rPr>
          <w:rFonts w:asciiTheme="majorHAnsi" w:hAnsiTheme="majorHAnsi"/>
        </w:rPr>
      </w:pPr>
    </w:p>
    <w:p w14:paraId="6EC63886" w14:textId="77777777" w:rsidR="00B82D9B" w:rsidRDefault="004D156B" w:rsidP="004D156B">
      <w:pPr>
        <w:rPr>
          <w:rFonts w:asciiTheme="majorHAnsi" w:hAnsiTheme="majorHAnsi"/>
        </w:rPr>
      </w:pPr>
      <w:r w:rsidRPr="004D156B">
        <w:rPr>
          <w:rFonts w:asciiTheme="majorHAnsi" w:hAnsiTheme="majorHAnsi"/>
        </w:rPr>
        <w:t xml:space="preserve">Na projednání Parlamentem však čeká celá řada neméně významných návrhů zákonů – o veřejných zakázkách, o střetu zájmů, o financování politických stran, prokazování původu majetku nebo loterijní zákon. Na schválení vládou pak čekají zákon o státním </w:t>
      </w:r>
    </w:p>
    <w:p w14:paraId="77F9CDB6" w14:textId="77777777" w:rsidR="00B82D9B" w:rsidRDefault="00B82D9B" w:rsidP="004D156B">
      <w:pPr>
        <w:rPr>
          <w:rFonts w:asciiTheme="majorHAnsi" w:hAnsiTheme="majorHAnsi"/>
        </w:rPr>
      </w:pPr>
    </w:p>
    <w:p w14:paraId="6F32FC40" w14:textId="45736BC2" w:rsidR="004D156B" w:rsidRDefault="004D156B" w:rsidP="004D156B">
      <w:pPr>
        <w:rPr>
          <w:rFonts w:asciiTheme="majorHAnsi" w:hAnsiTheme="majorHAnsi"/>
        </w:rPr>
      </w:pPr>
      <w:r w:rsidRPr="004D156B">
        <w:rPr>
          <w:rFonts w:asciiTheme="majorHAnsi" w:hAnsiTheme="majorHAnsi"/>
        </w:rPr>
        <w:t>zastupitelství, o řízení a kontrole veřejných financí a věcný záměr zákona o nominacích do správních a dozorčích rad státních podniků. Pokud se budou dále během roku 2016 odkládat, reálně hrozí, že padnou pod stůl a touto sněmovnou projednány nebudou.</w:t>
      </w:r>
    </w:p>
    <w:p w14:paraId="60175F4E" w14:textId="77777777" w:rsidR="004D156B" w:rsidRPr="004D156B" w:rsidRDefault="004D156B" w:rsidP="004D156B">
      <w:pPr>
        <w:rPr>
          <w:rFonts w:asciiTheme="majorHAnsi" w:hAnsiTheme="majorHAnsi"/>
        </w:rPr>
      </w:pPr>
    </w:p>
    <w:p w14:paraId="120410F3" w14:textId="529F9A88" w:rsidR="004D156B" w:rsidRDefault="004D156B" w:rsidP="004D156B">
      <w:pPr>
        <w:rPr>
          <w:rFonts w:asciiTheme="majorHAnsi" w:hAnsiTheme="majorHAnsi"/>
        </w:rPr>
      </w:pPr>
      <w:r w:rsidRPr="004D156B">
        <w:rPr>
          <w:rFonts w:asciiTheme="majorHAnsi" w:hAnsiTheme="majorHAnsi"/>
        </w:rPr>
        <w:t xml:space="preserve"> „Řada jednotlivých kauz (Mynář, Podivínský, Novák) ukázala, že ČR skutečně potřebuje </w:t>
      </w:r>
      <w:r w:rsidRPr="004D156B">
        <w:rPr>
          <w:rFonts w:asciiTheme="majorHAnsi" w:hAnsiTheme="majorHAnsi"/>
          <w:b/>
        </w:rPr>
        <w:t>zákon o prokazování původu majetku</w:t>
      </w:r>
      <w:r w:rsidRPr="004D156B">
        <w:rPr>
          <w:rFonts w:asciiTheme="majorHAnsi" w:hAnsiTheme="majorHAnsi"/>
        </w:rPr>
        <w:t>. Nestandardní majetkové transakce vrcholných státních představitelů nejsou dobrou vizitkou jich samotných ani české veřejné správy a chybí účinný nástroj, jak takové disproporce mezi příjmy a výdaji jednotlivců zkontrolovat,“</w:t>
      </w:r>
      <w:r w:rsidR="008B54CB">
        <w:rPr>
          <w:rFonts w:asciiTheme="majorHAnsi" w:hAnsiTheme="majorHAnsi"/>
        </w:rPr>
        <w:t xml:space="preserve"> </w:t>
      </w:r>
      <w:r w:rsidRPr="004D156B">
        <w:rPr>
          <w:rFonts w:asciiTheme="majorHAnsi" w:hAnsiTheme="majorHAnsi"/>
        </w:rPr>
        <w:t>říká Radim Bureš, Programový ředitel TI.</w:t>
      </w:r>
    </w:p>
    <w:p w14:paraId="69DECF48" w14:textId="77777777" w:rsidR="004D156B" w:rsidRPr="004D156B" w:rsidRDefault="004D156B" w:rsidP="004D156B">
      <w:pPr>
        <w:rPr>
          <w:rFonts w:asciiTheme="majorHAnsi" w:hAnsiTheme="majorHAnsi"/>
        </w:rPr>
      </w:pPr>
    </w:p>
    <w:p w14:paraId="410AEAC2" w14:textId="2B96C591" w:rsidR="004D156B" w:rsidRDefault="004D156B" w:rsidP="004D156B">
      <w:pPr>
        <w:rPr>
          <w:rFonts w:asciiTheme="majorHAnsi" w:hAnsiTheme="majorHAnsi"/>
        </w:rPr>
      </w:pPr>
      <w:r w:rsidRPr="004D156B">
        <w:rPr>
          <w:rFonts w:asciiTheme="majorHAnsi" w:hAnsiTheme="majorHAnsi"/>
        </w:rPr>
        <w:t xml:space="preserve">Podrobná diskuse se nepochybně bude vést nad </w:t>
      </w:r>
      <w:r w:rsidRPr="004D156B">
        <w:rPr>
          <w:rFonts w:asciiTheme="majorHAnsi" w:hAnsiTheme="majorHAnsi"/>
          <w:b/>
        </w:rPr>
        <w:t>zákonem o veřejných zakázkách.</w:t>
      </w:r>
      <w:r w:rsidRPr="004D156B">
        <w:rPr>
          <w:rFonts w:asciiTheme="majorHAnsi" w:hAnsiTheme="majorHAnsi"/>
        </w:rPr>
        <w:t xml:space="preserve"> „Ministerstvo pro místní rozvoj připravilo nový zákon o zadávání veřejných zakázek, který reaguje na nové evropské směrnice a který do značné míry změní přístup k zadávání veřejných zakázek v Česku. Jeho dopad zatím lze jen odhadovat, ale je faktem, že snížení formálnosti zadávacího procesu může zvýšit korupční rizika. Ovšem ani současný zákon nepostrádá mezery, které nahrávají nehospodárnému vynakládání veřejných prostředků, jak ukázala kauza První chráněné dílny, která za pomoci zaměstnávání hendikepovaných získala cenové zvýhodnění i pro zakázky, na jejichž realizaci se hendikepovaní vůbec nepodíleli (</w:t>
      </w:r>
      <w:hyperlink r:id="rId9" w:history="1">
        <w:r w:rsidRPr="00B312E8">
          <w:rPr>
            <w:rStyle w:val="Hypertextovodkaz"/>
            <w:rFonts w:asciiTheme="majorHAnsi" w:hAnsiTheme="majorHAnsi"/>
            <w:color w:val="0070C0"/>
          </w:rPr>
          <w:t>odkaz</w:t>
        </w:r>
      </w:hyperlink>
      <w:r w:rsidRPr="004D156B">
        <w:rPr>
          <w:rFonts w:asciiTheme="majorHAnsi" w:hAnsiTheme="majorHAnsi"/>
        </w:rPr>
        <w:t xml:space="preserve">),“ </w:t>
      </w:r>
      <w:r w:rsidR="008B54CB">
        <w:rPr>
          <w:rFonts w:asciiTheme="majorHAnsi" w:hAnsiTheme="majorHAnsi"/>
        </w:rPr>
        <w:t>uvádí</w:t>
      </w:r>
      <w:r w:rsidRPr="004D156B">
        <w:rPr>
          <w:rFonts w:asciiTheme="majorHAnsi" w:hAnsiTheme="majorHAnsi"/>
        </w:rPr>
        <w:t xml:space="preserve"> Petr Leyer, vedoucí právní poradny TI.</w:t>
      </w:r>
    </w:p>
    <w:p w14:paraId="23C2EA7B" w14:textId="77777777" w:rsidR="004D156B" w:rsidRPr="004D156B" w:rsidRDefault="004D156B" w:rsidP="004D156B">
      <w:pPr>
        <w:rPr>
          <w:rFonts w:asciiTheme="majorHAnsi" w:hAnsiTheme="majorHAnsi"/>
        </w:rPr>
      </w:pPr>
    </w:p>
    <w:p w14:paraId="5ADCDBF5" w14:textId="77777777" w:rsidR="004D156B" w:rsidRDefault="004D156B" w:rsidP="004D156B">
      <w:pPr>
        <w:rPr>
          <w:rFonts w:asciiTheme="majorHAnsi" w:hAnsiTheme="majorHAnsi"/>
          <w:b/>
        </w:rPr>
      </w:pPr>
      <w:r w:rsidRPr="004D156B">
        <w:rPr>
          <w:rFonts w:asciiTheme="majorHAnsi" w:hAnsiTheme="majorHAnsi"/>
          <w:b/>
        </w:rPr>
        <w:t>Trestní postih korupce – nedotknutelní přestali být nedotknutelnými</w:t>
      </w:r>
    </w:p>
    <w:p w14:paraId="7BB02167" w14:textId="77777777" w:rsidR="004D156B" w:rsidRPr="004D156B" w:rsidRDefault="004D156B" w:rsidP="004D156B">
      <w:pPr>
        <w:rPr>
          <w:rFonts w:asciiTheme="majorHAnsi" w:hAnsiTheme="majorHAnsi"/>
          <w:b/>
        </w:rPr>
      </w:pPr>
    </w:p>
    <w:p w14:paraId="65EF2AC8" w14:textId="77777777" w:rsidR="004D156B" w:rsidRDefault="004D156B" w:rsidP="004D156B">
      <w:pPr>
        <w:rPr>
          <w:rFonts w:asciiTheme="majorHAnsi" w:hAnsiTheme="majorHAnsi"/>
        </w:rPr>
      </w:pPr>
      <w:r w:rsidRPr="004D156B">
        <w:rPr>
          <w:rFonts w:asciiTheme="majorHAnsi" w:hAnsiTheme="majorHAnsi"/>
        </w:rPr>
        <w:t xml:space="preserve">V roce 2015 dospěla ke svému prvnímu milníku velká korupční kauza spojená s bývalým hejtmanem </w:t>
      </w:r>
      <w:r w:rsidRPr="004D156B">
        <w:rPr>
          <w:rFonts w:asciiTheme="majorHAnsi" w:hAnsiTheme="majorHAnsi"/>
          <w:b/>
        </w:rPr>
        <w:t>Rathem</w:t>
      </w:r>
      <w:r w:rsidRPr="004D156B">
        <w:rPr>
          <w:rFonts w:asciiTheme="majorHAnsi" w:hAnsiTheme="majorHAnsi"/>
        </w:rPr>
        <w:t xml:space="preserve">. Rozsudek, byť nepravomocný, jasně potvrdil verzi obžaloby založenou na důmyslném ovlivňování veřejných zakázek ve prospěch předem vybraných firem a následných provizích pro organizátory Pancová – Kott, i vše zastřešující politiky Rath.  </w:t>
      </w:r>
    </w:p>
    <w:p w14:paraId="07AA24B0" w14:textId="77777777" w:rsidR="004D156B" w:rsidRPr="004D156B" w:rsidRDefault="004D156B" w:rsidP="004D156B">
      <w:pPr>
        <w:rPr>
          <w:rFonts w:asciiTheme="majorHAnsi" w:hAnsiTheme="majorHAnsi"/>
        </w:rPr>
      </w:pPr>
    </w:p>
    <w:p w14:paraId="23492043" w14:textId="77777777" w:rsidR="004D156B" w:rsidRDefault="004D156B" w:rsidP="004D156B">
      <w:pPr>
        <w:rPr>
          <w:rFonts w:asciiTheme="majorHAnsi" w:hAnsiTheme="majorHAnsi"/>
        </w:rPr>
      </w:pPr>
      <w:r w:rsidRPr="004D156B">
        <w:rPr>
          <w:rFonts w:asciiTheme="majorHAnsi" w:hAnsiTheme="majorHAnsi"/>
        </w:rPr>
        <w:t xml:space="preserve">Mezi další klíčové kauzy patří případ bývalého ředitele nemocnice </w:t>
      </w:r>
      <w:r w:rsidRPr="004D156B">
        <w:rPr>
          <w:rFonts w:asciiTheme="majorHAnsi" w:hAnsiTheme="majorHAnsi"/>
          <w:b/>
        </w:rPr>
        <w:t>na Homolce</w:t>
      </w:r>
      <w:r w:rsidRPr="004D156B">
        <w:rPr>
          <w:rFonts w:asciiTheme="majorHAnsi" w:hAnsiTheme="majorHAnsi"/>
        </w:rPr>
        <w:t xml:space="preserve"> Dbalého, jehož – údajně fiktivní – zápisník poskytuje živý vhled do schématu korupčního mechanismu.</w:t>
      </w:r>
    </w:p>
    <w:p w14:paraId="254E29AA" w14:textId="77777777" w:rsidR="004D156B" w:rsidRPr="004D156B" w:rsidRDefault="004D156B" w:rsidP="004D156B">
      <w:pPr>
        <w:rPr>
          <w:rFonts w:asciiTheme="majorHAnsi" w:hAnsiTheme="majorHAnsi"/>
        </w:rPr>
      </w:pPr>
    </w:p>
    <w:p w14:paraId="47676981" w14:textId="50515851" w:rsidR="004D156B" w:rsidRDefault="004D156B" w:rsidP="004D156B">
      <w:pPr>
        <w:rPr>
          <w:rFonts w:asciiTheme="majorHAnsi" w:hAnsiTheme="majorHAnsi"/>
        </w:rPr>
      </w:pPr>
      <w:r w:rsidRPr="004D156B">
        <w:rPr>
          <w:rFonts w:asciiTheme="majorHAnsi" w:hAnsiTheme="majorHAnsi"/>
        </w:rPr>
        <w:t xml:space="preserve">Rozpaky na druhé straně budí vyšetřování a stíhání v pražské kauze </w:t>
      </w:r>
      <w:r w:rsidRPr="004D156B">
        <w:rPr>
          <w:rFonts w:asciiTheme="majorHAnsi" w:hAnsiTheme="majorHAnsi"/>
          <w:b/>
        </w:rPr>
        <w:t>Opencard</w:t>
      </w:r>
      <w:r w:rsidRPr="004D156B">
        <w:rPr>
          <w:rFonts w:asciiTheme="majorHAnsi" w:hAnsiTheme="majorHAnsi"/>
        </w:rPr>
        <w:t xml:space="preserve">. Zde naopak boduje Parlament a jeho vyšetřovací komise, která podrobně popsala „Vyšetřování – nevyšetřování“ a „stíhání – nestíhání“ různých aspektů této kauzy (k dohledání </w:t>
      </w:r>
      <w:hyperlink r:id="rId10" w:history="1">
        <w:r w:rsidRPr="00BD3A30">
          <w:rPr>
            <w:rStyle w:val="Hypertextovodkaz"/>
            <w:rFonts w:asciiTheme="majorHAnsi" w:hAnsiTheme="majorHAnsi"/>
            <w:color w:val="0070C0"/>
          </w:rPr>
          <w:t>zde</w:t>
        </w:r>
      </w:hyperlink>
      <w:r w:rsidRPr="004D156B">
        <w:rPr>
          <w:rFonts w:asciiTheme="majorHAnsi" w:hAnsiTheme="majorHAnsi"/>
        </w:rPr>
        <w:t>). Výsledkem činnosti vyšetřovací komise bylo podání trestního oznámení na pražskou státní zástupkyni Dagmar Máchovou.</w:t>
      </w:r>
    </w:p>
    <w:p w14:paraId="39A129D2" w14:textId="77777777" w:rsidR="004D156B" w:rsidRPr="004D156B" w:rsidRDefault="004D156B" w:rsidP="004D156B">
      <w:pPr>
        <w:rPr>
          <w:rFonts w:asciiTheme="majorHAnsi" w:hAnsiTheme="majorHAnsi"/>
        </w:rPr>
      </w:pPr>
    </w:p>
    <w:p w14:paraId="6547586C" w14:textId="77777777" w:rsidR="004D156B" w:rsidRDefault="004D156B" w:rsidP="004D156B">
      <w:pPr>
        <w:rPr>
          <w:rFonts w:asciiTheme="majorHAnsi" w:hAnsiTheme="majorHAnsi"/>
          <w:b/>
        </w:rPr>
      </w:pPr>
      <w:r w:rsidRPr="004D156B">
        <w:rPr>
          <w:rFonts w:asciiTheme="majorHAnsi" w:hAnsiTheme="majorHAnsi"/>
          <w:b/>
        </w:rPr>
        <w:t>Priority Transparency</w:t>
      </w:r>
    </w:p>
    <w:p w14:paraId="42A11B4D" w14:textId="77777777" w:rsidR="004D156B" w:rsidRPr="004D156B" w:rsidRDefault="004D156B" w:rsidP="004D156B">
      <w:pPr>
        <w:rPr>
          <w:rFonts w:asciiTheme="majorHAnsi" w:hAnsiTheme="majorHAnsi"/>
          <w:b/>
        </w:rPr>
      </w:pPr>
    </w:p>
    <w:p w14:paraId="7D1809E9" w14:textId="40DF259B" w:rsidR="004D156B" w:rsidRDefault="004D156B" w:rsidP="004D156B">
      <w:pPr>
        <w:rPr>
          <w:rFonts w:asciiTheme="majorHAnsi" w:hAnsiTheme="majorHAnsi"/>
        </w:rPr>
      </w:pPr>
      <w:r w:rsidRPr="004D156B">
        <w:rPr>
          <w:rFonts w:asciiTheme="majorHAnsi" w:hAnsiTheme="majorHAnsi"/>
        </w:rPr>
        <w:t xml:space="preserve">„Rok 2015 se stal významným i v tom, že se opět začalo vážně mluvit o právní úpravě </w:t>
      </w:r>
      <w:r w:rsidRPr="004D156B">
        <w:rPr>
          <w:rFonts w:asciiTheme="majorHAnsi" w:hAnsiTheme="majorHAnsi"/>
          <w:b/>
        </w:rPr>
        <w:t>whistleblowingu</w:t>
      </w:r>
      <w:r w:rsidRPr="004D156B">
        <w:rPr>
          <w:rFonts w:asciiTheme="majorHAnsi" w:hAnsiTheme="majorHAnsi"/>
        </w:rPr>
        <w:t xml:space="preserve"> v ČR, což je nepochybně správný krok. Toto důležité (nejen) protikorupční opatření se stalo součástí vládního Akčního plánu boje proti korupci 2015 a jeho konkrétnější podoba by měla být pravděpodobně představena v první polovině následujícího roku. TI se </w:t>
      </w:r>
      <w:proofErr w:type="gramStart"/>
      <w:r w:rsidRPr="004D156B">
        <w:rPr>
          <w:rFonts w:asciiTheme="majorHAnsi" w:hAnsiTheme="majorHAnsi"/>
        </w:rPr>
        <w:t>snažila</w:t>
      </w:r>
      <w:proofErr w:type="gramEnd"/>
      <w:r w:rsidRPr="004D156B">
        <w:rPr>
          <w:rFonts w:asciiTheme="majorHAnsi" w:hAnsiTheme="majorHAnsi"/>
        </w:rPr>
        <w:t xml:space="preserve"> získat podporu pro legislativní ochranu oznamovatelů i mezi veřejností v rámci stále probíhající kampaně </w:t>
      </w:r>
      <w:hyperlink r:id="rId11" w:history="1">
        <w:r w:rsidRPr="00B312E8">
          <w:rPr>
            <w:rStyle w:val="Hypertextovodkaz"/>
            <w:rFonts w:asciiTheme="majorHAnsi" w:hAnsiTheme="majorHAnsi"/>
            <w:color w:val="0070C0"/>
          </w:rPr>
          <w:t>Zapískej.cz</w:t>
        </w:r>
      </w:hyperlink>
      <w:r w:rsidRPr="004D156B">
        <w:rPr>
          <w:rFonts w:asciiTheme="majorHAnsi" w:hAnsiTheme="majorHAnsi"/>
        </w:rPr>
        <w:t>,“ připomíná Petr Leyer.</w:t>
      </w:r>
    </w:p>
    <w:p w14:paraId="2EFE661A" w14:textId="77777777" w:rsidR="004D156B" w:rsidRPr="004D156B" w:rsidRDefault="004D156B" w:rsidP="004D156B">
      <w:pPr>
        <w:rPr>
          <w:rFonts w:asciiTheme="majorHAnsi" w:hAnsiTheme="majorHAnsi"/>
        </w:rPr>
      </w:pPr>
    </w:p>
    <w:p w14:paraId="1E413851" w14:textId="77777777" w:rsidR="004D156B" w:rsidRDefault="004D156B" w:rsidP="004D156B">
      <w:pPr>
        <w:rPr>
          <w:rFonts w:asciiTheme="majorHAnsi" w:hAnsiTheme="majorHAnsi"/>
        </w:rPr>
      </w:pPr>
      <w:bookmarkStart w:id="0" w:name="_GoBack"/>
      <w:bookmarkEnd w:id="0"/>
      <w:r w:rsidRPr="004D156B">
        <w:rPr>
          <w:rFonts w:asciiTheme="majorHAnsi" w:hAnsiTheme="majorHAnsi"/>
        </w:rPr>
        <w:t xml:space="preserve">Druhou oblastí, které se TI v roce 2015 byla oblast </w:t>
      </w:r>
      <w:r w:rsidRPr="004D156B">
        <w:rPr>
          <w:rFonts w:asciiTheme="majorHAnsi" w:hAnsiTheme="majorHAnsi"/>
          <w:b/>
        </w:rPr>
        <w:t>lobbingu</w:t>
      </w:r>
      <w:r w:rsidRPr="004D156B">
        <w:rPr>
          <w:rFonts w:asciiTheme="majorHAnsi" w:hAnsiTheme="majorHAnsi"/>
        </w:rPr>
        <w:t>.  O neprůhledném propojení byznysu a politiky je přesvědčena většina našich obyvatel a dosavadní pokusy lobbing regulovat skončily neúspěchem. „Lobbing za regulaci lobbingu“ dopadl úspěšně – Rada vlády pro koordinaci boje s korupcí navrhla zařadit regulaci lobbingu do plánu činnosti v roce 2016.</w:t>
      </w:r>
    </w:p>
    <w:p w14:paraId="76CE36C0" w14:textId="77777777" w:rsidR="004D156B" w:rsidRPr="004D156B" w:rsidRDefault="004D156B" w:rsidP="004D156B">
      <w:pPr>
        <w:rPr>
          <w:rFonts w:asciiTheme="majorHAnsi" w:hAnsiTheme="majorHAnsi"/>
        </w:rPr>
      </w:pPr>
    </w:p>
    <w:p w14:paraId="471A3AE4" w14:textId="77777777" w:rsidR="004D156B" w:rsidRDefault="004D156B" w:rsidP="004D156B">
      <w:pPr>
        <w:rPr>
          <w:rFonts w:asciiTheme="majorHAnsi" w:hAnsiTheme="majorHAnsi"/>
        </w:rPr>
      </w:pPr>
      <w:r w:rsidRPr="004D156B">
        <w:rPr>
          <w:rFonts w:asciiTheme="majorHAnsi" w:hAnsiTheme="majorHAnsi"/>
        </w:rPr>
        <w:t xml:space="preserve">Omezování korupce ale není jen o legislativě, ale také o posilování postojů odmítajících korupci a občanské angažovanosti. Tímto směrem se orientují dva velké projekty TI – </w:t>
      </w:r>
      <w:r w:rsidRPr="004D156B">
        <w:rPr>
          <w:rFonts w:asciiTheme="majorHAnsi" w:hAnsiTheme="majorHAnsi"/>
          <w:b/>
        </w:rPr>
        <w:t>PAKT</w:t>
      </w:r>
      <w:r w:rsidRPr="004D156B">
        <w:rPr>
          <w:rFonts w:asciiTheme="majorHAnsi" w:hAnsiTheme="majorHAnsi"/>
        </w:rPr>
        <w:t xml:space="preserve"> (Protikorupční akademické kurzy transparentnosti) a Rok místních referend.  Cílem PAKTU je ukázat studentům, jak se mohou zapojit do správy věcí veřejných, ať již v diskusi nebo formou občanského dohledu. „Se skupinami studentů v Praze, Liberci a Hradci Králové diskutujeme konkrétní místní kauzy a problémy. Řadu z nich totiž mohou občané ovlivnit již při projednávání či schvalování a nemusejí pak být překvapeni konečným výsledkem,“ říká k tomu Ivana Dufková, autorka projektu.</w:t>
      </w:r>
    </w:p>
    <w:p w14:paraId="7CAC42E7" w14:textId="77777777" w:rsidR="004D156B" w:rsidRPr="004D156B" w:rsidRDefault="004D156B" w:rsidP="004D156B">
      <w:pPr>
        <w:rPr>
          <w:rFonts w:asciiTheme="majorHAnsi" w:hAnsiTheme="majorHAnsi"/>
        </w:rPr>
      </w:pPr>
    </w:p>
    <w:p w14:paraId="545210E6" w14:textId="36FFB7CD" w:rsidR="004D156B" w:rsidRDefault="004D156B" w:rsidP="004D156B">
      <w:pPr>
        <w:rPr>
          <w:rFonts w:asciiTheme="majorHAnsi" w:hAnsiTheme="majorHAnsi"/>
        </w:rPr>
      </w:pPr>
      <w:r w:rsidRPr="004D156B">
        <w:rPr>
          <w:rFonts w:asciiTheme="majorHAnsi" w:hAnsiTheme="majorHAnsi"/>
        </w:rPr>
        <w:t xml:space="preserve">Dalším z nástrojů veřejného dohledu je </w:t>
      </w:r>
      <w:r w:rsidRPr="004D156B">
        <w:rPr>
          <w:rFonts w:asciiTheme="majorHAnsi" w:hAnsiTheme="majorHAnsi"/>
          <w:b/>
        </w:rPr>
        <w:t>místní referendum</w:t>
      </w:r>
      <w:r w:rsidRPr="004D156B">
        <w:rPr>
          <w:rFonts w:asciiTheme="majorHAnsi" w:hAnsiTheme="majorHAnsi"/>
        </w:rPr>
        <w:t>. „V řadě obcí občané v místním referendu prosadili zákaz či omezení hazardu nebo odmítli nevhodné developerské projekty. Ne všechna referenda ale byla úspěšná. Poučit se minulých chyb a nabídnout budoucím organizátorům referend jasný návod, to je cílem projektu Rok místních referend</w:t>
      </w:r>
      <w:r w:rsidR="008B54CB">
        <w:rPr>
          <w:rFonts w:asciiTheme="majorHAnsi" w:hAnsiTheme="majorHAnsi"/>
        </w:rPr>
        <w:t>,</w:t>
      </w:r>
      <w:r w:rsidRPr="004D156B">
        <w:rPr>
          <w:rFonts w:asciiTheme="majorHAnsi" w:hAnsiTheme="majorHAnsi"/>
        </w:rPr>
        <w:t>“ říká projektová manažerka projektů Tereza Zběžková.</w:t>
      </w:r>
    </w:p>
    <w:p w14:paraId="778F8DB4" w14:textId="77777777" w:rsidR="004D156B" w:rsidRPr="004D156B" w:rsidRDefault="004D156B" w:rsidP="004D156B">
      <w:pPr>
        <w:rPr>
          <w:rFonts w:asciiTheme="majorHAnsi" w:hAnsiTheme="majorHAnsi"/>
        </w:rPr>
      </w:pPr>
    </w:p>
    <w:p w14:paraId="6B5F19C0" w14:textId="77777777" w:rsidR="004D156B" w:rsidRDefault="004D156B" w:rsidP="004D156B">
      <w:pPr>
        <w:rPr>
          <w:rFonts w:asciiTheme="majorHAnsi" w:hAnsiTheme="majorHAnsi"/>
        </w:rPr>
      </w:pPr>
      <w:r w:rsidRPr="004D156B">
        <w:rPr>
          <w:rFonts w:asciiTheme="majorHAnsi" w:hAnsiTheme="majorHAnsi"/>
        </w:rPr>
        <w:t xml:space="preserve">V květnu 2015 jsme také představili společně se spolkem </w:t>
      </w:r>
      <w:proofErr w:type="spellStart"/>
      <w:r w:rsidRPr="004D156B">
        <w:rPr>
          <w:rFonts w:asciiTheme="majorHAnsi" w:hAnsiTheme="majorHAnsi"/>
        </w:rPr>
        <w:t>Lexperanto</w:t>
      </w:r>
      <w:proofErr w:type="spellEnd"/>
      <w:r w:rsidRPr="004D156B">
        <w:rPr>
          <w:rFonts w:asciiTheme="majorHAnsi" w:hAnsiTheme="majorHAnsi"/>
        </w:rPr>
        <w:t xml:space="preserve"> projekt </w:t>
      </w:r>
      <w:r w:rsidRPr="004D156B">
        <w:rPr>
          <w:rFonts w:asciiTheme="majorHAnsi" w:hAnsiTheme="majorHAnsi"/>
          <w:b/>
        </w:rPr>
        <w:t>TAXPARENCY</w:t>
      </w:r>
      <w:r w:rsidRPr="004D156B">
        <w:rPr>
          <w:rFonts w:asciiTheme="majorHAnsi" w:hAnsiTheme="majorHAnsi"/>
        </w:rPr>
        <w:t xml:space="preserve"> směřující k rozkrytí vlastnických a daňových struktur společností se sídlem v ČR a potenciálně v celé EU. V dnešním globálním prostředí totiž představuje veřejná znalost toků kapitálu základní kámen jakéhokoli moderního demokratického systému. „V normálním životě není nikdo nadšený, že musí platit daně, ale když je platí, tak zároveň má ambici kontrolovat, kam daně jdou a za co jsou utráceny. A na tom je postavena demokratická kultura a kontrola,“ dodává David Ondráčka, ředitel TI.</w:t>
      </w:r>
    </w:p>
    <w:p w14:paraId="593C20E9" w14:textId="77777777" w:rsidR="004D156B" w:rsidRPr="004D156B" w:rsidRDefault="004D156B" w:rsidP="004D156B">
      <w:pPr>
        <w:rPr>
          <w:rFonts w:asciiTheme="majorHAnsi" w:hAnsiTheme="majorHAnsi"/>
        </w:rPr>
      </w:pPr>
    </w:p>
    <w:p w14:paraId="3A6BBE8E" w14:textId="77777777" w:rsidR="004D156B" w:rsidRDefault="004D156B" w:rsidP="004D156B">
      <w:pPr>
        <w:rPr>
          <w:rFonts w:asciiTheme="majorHAnsi" w:hAnsiTheme="majorHAnsi"/>
        </w:rPr>
      </w:pPr>
      <w:r w:rsidRPr="004D156B">
        <w:rPr>
          <w:rFonts w:asciiTheme="majorHAnsi" w:hAnsiTheme="majorHAnsi"/>
        </w:rPr>
        <w:t>Jaký bude rok 2016?</w:t>
      </w:r>
    </w:p>
    <w:p w14:paraId="3563E79D" w14:textId="77777777" w:rsidR="008B54CB" w:rsidRPr="004D156B" w:rsidRDefault="008B54CB" w:rsidP="004D156B">
      <w:pPr>
        <w:rPr>
          <w:rFonts w:asciiTheme="majorHAnsi" w:hAnsiTheme="majorHAnsi"/>
        </w:rPr>
      </w:pPr>
    </w:p>
    <w:p w14:paraId="527A2553" w14:textId="77777777" w:rsidR="004D156B" w:rsidRPr="004D156B" w:rsidRDefault="004D156B" w:rsidP="004D156B">
      <w:pPr>
        <w:rPr>
          <w:rFonts w:asciiTheme="majorHAnsi" w:hAnsiTheme="majorHAnsi"/>
          <w:b/>
          <w:color w:val="000000" w:themeColor="text1"/>
          <w:u w:val="single"/>
        </w:rPr>
      </w:pPr>
    </w:p>
    <w:p w14:paraId="32F6D5E4" w14:textId="77777777" w:rsidR="004D156B" w:rsidRDefault="004D156B" w:rsidP="004D156B">
      <w:pPr>
        <w:rPr>
          <w:rFonts w:asciiTheme="majorHAnsi" w:hAnsiTheme="majorHAnsi"/>
          <w:b/>
          <w:color w:val="000000" w:themeColor="text1"/>
          <w:u w:val="single"/>
        </w:rPr>
      </w:pPr>
      <w:r w:rsidRPr="004D156B">
        <w:rPr>
          <w:rFonts w:asciiTheme="majorHAnsi" w:hAnsiTheme="majorHAnsi"/>
          <w:b/>
          <w:color w:val="000000" w:themeColor="text1"/>
          <w:u w:val="single"/>
        </w:rPr>
        <w:t>Kontakty pro média:</w:t>
      </w:r>
    </w:p>
    <w:p w14:paraId="72C7617C" w14:textId="77777777" w:rsidR="004D156B" w:rsidRPr="004D156B" w:rsidRDefault="004D156B" w:rsidP="004D156B">
      <w:pPr>
        <w:rPr>
          <w:rFonts w:asciiTheme="majorHAnsi" w:hAnsiTheme="majorHAnsi"/>
          <w:b/>
          <w:color w:val="000000" w:themeColor="text1"/>
          <w:u w:val="single"/>
        </w:rPr>
      </w:pPr>
    </w:p>
    <w:p w14:paraId="42786584" w14:textId="77777777" w:rsidR="004D156B" w:rsidRPr="004D156B" w:rsidRDefault="004D156B" w:rsidP="004D156B">
      <w:pPr>
        <w:rPr>
          <w:rFonts w:asciiTheme="majorHAnsi" w:hAnsiTheme="majorHAnsi"/>
          <w:color w:val="000000" w:themeColor="text1"/>
        </w:rPr>
      </w:pPr>
      <w:r w:rsidRPr="004D156B">
        <w:rPr>
          <w:rFonts w:asciiTheme="majorHAnsi" w:hAnsiTheme="majorHAnsi"/>
          <w:b/>
          <w:color w:val="000000" w:themeColor="text1"/>
        </w:rPr>
        <w:t>David Ondráčka</w:t>
      </w:r>
      <w:r w:rsidRPr="004D156B">
        <w:rPr>
          <w:rFonts w:asciiTheme="majorHAnsi" w:hAnsiTheme="majorHAnsi"/>
          <w:color w:val="000000" w:themeColor="text1"/>
        </w:rPr>
        <w:t>, ředitel TI</w:t>
      </w:r>
    </w:p>
    <w:p w14:paraId="1FDB630E" w14:textId="77777777" w:rsidR="004D156B" w:rsidRPr="004D156B" w:rsidRDefault="004D156B" w:rsidP="004D156B">
      <w:pPr>
        <w:rPr>
          <w:rFonts w:asciiTheme="majorHAnsi" w:hAnsiTheme="majorHAnsi"/>
          <w:color w:val="0070C0"/>
        </w:rPr>
      </w:pPr>
      <w:r w:rsidRPr="004D156B">
        <w:rPr>
          <w:rFonts w:asciiTheme="majorHAnsi" w:hAnsiTheme="majorHAnsi"/>
          <w:color w:val="000000" w:themeColor="text1"/>
        </w:rPr>
        <w:t xml:space="preserve">E-mail: </w:t>
      </w:r>
      <w:hyperlink r:id="rId12" w:history="1">
        <w:r w:rsidRPr="004D156B">
          <w:rPr>
            <w:rStyle w:val="Hypertextovodkaz"/>
            <w:rFonts w:asciiTheme="majorHAnsi" w:hAnsiTheme="majorHAnsi"/>
            <w:color w:val="0070C0"/>
          </w:rPr>
          <w:t>ondracka@transparency.cz</w:t>
        </w:r>
      </w:hyperlink>
      <w:r w:rsidRPr="004D156B">
        <w:rPr>
          <w:rFonts w:asciiTheme="majorHAnsi" w:hAnsiTheme="majorHAnsi"/>
          <w:color w:val="0070C0"/>
        </w:rPr>
        <w:t xml:space="preserve"> </w:t>
      </w:r>
    </w:p>
    <w:p w14:paraId="3E73CB5B" w14:textId="77777777" w:rsidR="004D156B" w:rsidRPr="004D156B" w:rsidRDefault="004D156B" w:rsidP="004D156B">
      <w:pPr>
        <w:rPr>
          <w:rFonts w:asciiTheme="majorHAnsi" w:hAnsiTheme="majorHAnsi"/>
          <w:color w:val="000000" w:themeColor="text1"/>
        </w:rPr>
      </w:pPr>
    </w:p>
    <w:p w14:paraId="7B4D2F88" w14:textId="77777777" w:rsidR="004D156B" w:rsidRPr="004D156B" w:rsidRDefault="004D156B" w:rsidP="004D156B">
      <w:pPr>
        <w:rPr>
          <w:rFonts w:asciiTheme="majorHAnsi" w:hAnsiTheme="majorHAnsi"/>
          <w:color w:val="000000" w:themeColor="text1"/>
        </w:rPr>
      </w:pPr>
      <w:r w:rsidRPr="004D156B">
        <w:rPr>
          <w:rFonts w:asciiTheme="majorHAnsi" w:hAnsiTheme="majorHAnsi"/>
          <w:b/>
          <w:color w:val="000000" w:themeColor="text1"/>
        </w:rPr>
        <w:t>Radim Bureš</w:t>
      </w:r>
      <w:r w:rsidRPr="004D156B">
        <w:rPr>
          <w:rFonts w:asciiTheme="majorHAnsi" w:hAnsiTheme="majorHAnsi"/>
          <w:color w:val="000000" w:themeColor="text1"/>
        </w:rPr>
        <w:t>, programový ředitel TI</w:t>
      </w:r>
    </w:p>
    <w:p w14:paraId="5B256D90" w14:textId="77777777" w:rsidR="004D156B" w:rsidRPr="004D156B" w:rsidRDefault="004D156B" w:rsidP="004D156B">
      <w:pPr>
        <w:rPr>
          <w:rFonts w:asciiTheme="majorHAnsi" w:hAnsiTheme="majorHAnsi"/>
          <w:color w:val="0070C0"/>
        </w:rPr>
      </w:pPr>
      <w:r w:rsidRPr="004D156B">
        <w:rPr>
          <w:rFonts w:asciiTheme="majorHAnsi" w:hAnsiTheme="majorHAnsi"/>
          <w:color w:val="000000" w:themeColor="text1"/>
        </w:rPr>
        <w:t xml:space="preserve">E-mail: </w:t>
      </w:r>
      <w:hyperlink r:id="rId13" w:history="1">
        <w:r w:rsidRPr="004D156B">
          <w:rPr>
            <w:rStyle w:val="Hypertextovodkaz"/>
            <w:rFonts w:asciiTheme="majorHAnsi" w:hAnsiTheme="majorHAnsi"/>
            <w:color w:val="0070C0"/>
          </w:rPr>
          <w:t>bures@transparency.cz</w:t>
        </w:r>
      </w:hyperlink>
      <w:r w:rsidRPr="004D156B">
        <w:rPr>
          <w:rFonts w:asciiTheme="majorHAnsi" w:hAnsiTheme="majorHAnsi"/>
          <w:color w:val="0070C0"/>
        </w:rPr>
        <w:t xml:space="preserve"> </w:t>
      </w:r>
    </w:p>
    <w:p w14:paraId="45E92293" w14:textId="77777777" w:rsidR="004D156B" w:rsidRPr="004D156B" w:rsidRDefault="004D156B" w:rsidP="004D156B">
      <w:pPr>
        <w:rPr>
          <w:rFonts w:asciiTheme="majorHAnsi" w:hAnsiTheme="majorHAnsi"/>
          <w:color w:val="000000" w:themeColor="text1"/>
        </w:rPr>
      </w:pPr>
    </w:p>
    <w:p w14:paraId="1BE04582" w14:textId="77777777" w:rsidR="004D156B" w:rsidRPr="004D156B" w:rsidRDefault="004D156B" w:rsidP="004D156B">
      <w:pPr>
        <w:rPr>
          <w:rFonts w:asciiTheme="majorHAnsi" w:hAnsiTheme="majorHAnsi"/>
          <w:color w:val="000000" w:themeColor="text1"/>
        </w:rPr>
      </w:pPr>
      <w:r w:rsidRPr="004D156B">
        <w:rPr>
          <w:rFonts w:asciiTheme="majorHAnsi" w:hAnsiTheme="majorHAnsi"/>
          <w:b/>
          <w:color w:val="000000" w:themeColor="text1"/>
        </w:rPr>
        <w:t>Petr Leyer</w:t>
      </w:r>
      <w:r w:rsidRPr="004D156B">
        <w:rPr>
          <w:rFonts w:asciiTheme="majorHAnsi" w:hAnsiTheme="majorHAnsi"/>
          <w:color w:val="000000" w:themeColor="text1"/>
        </w:rPr>
        <w:t>, vedoucí Právní poradny TI</w:t>
      </w:r>
    </w:p>
    <w:p w14:paraId="05D7597B" w14:textId="77777777" w:rsidR="004D156B" w:rsidRPr="004D156B" w:rsidRDefault="004D156B" w:rsidP="004D156B">
      <w:pPr>
        <w:rPr>
          <w:rFonts w:asciiTheme="majorHAnsi" w:hAnsiTheme="majorHAnsi"/>
          <w:color w:val="000000" w:themeColor="text1"/>
        </w:rPr>
      </w:pPr>
      <w:r w:rsidRPr="004D156B">
        <w:rPr>
          <w:rFonts w:asciiTheme="majorHAnsi" w:hAnsiTheme="majorHAnsi"/>
          <w:color w:val="000000" w:themeColor="text1"/>
        </w:rPr>
        <w:t xml:space="preserve">E-mail: </w:t>
      </w:r>
      <w:hyperlink r:id="rId14" w:history="1">
        <w:r w:rsidRPr="004D156B">
          <w:rPr>
            <w:rStyle w:val="Hypertextovodkaz"/>
            <w:rFonts w:asciiTheme="majorHAnsi" w:hAnsiTheme="majorHAnsi"/>
            <w:color w:val="0070C0"/>
          </w:rPr>
          <w:t>leyer@transparency.cz</w:t>
        </w:r>
      </w:hyperlink>
      <w:r w:rsidRPr="004D156B">
        <w:rPr>
          <w:rFonts w:asciiTheme="majorHAnsi" w:hAnsiTheme="majorHAnsi"/>
          <w:color w:val="0070C0"/>
        </w:rPr>
        <w:t xml:space="preserve"> </w:t>
      </w:r>
    </w:p>
    <w:p w14:paraId="31908193" w14:textId="77777777" w:rsidR="004D156B" w:rsidRPr="004D156B" w:rsidRDefault="004D156B" w:rsidP="004D156B">
      <w:pPr>
        <w:rPr>
          <w:rFonts w:asciiTheme="majorHAnsi" w:hAnsiTheme="majorHAnsi"/>
          <w:color w:val="000000" w:themeColor="text1"/>
        </w:rPr>
      </w:pPr>
    </w:p>
    <w:p w14:paraId="0FC7BF98" w14:textId="77777777" w:rsidR="004D156B" w:rsidRPr="004D156B" w:rsidRDefault="004D156B" w:rsidP="004D156B">
      <w:pPr>
        <w:rPr>
          <w:rFonts w:asciiTheme="majorHAnsi" w:hAnsiTheme="majorHAnsi"/>
        </w:rPr>
      </w:pPr>
    </w:p>
    <w:p w14:paraId="72DFFCB8" w14:textId="31113FE2" w:rsidR="00217AA6" w:rsidRPr="004D156B" w:rsidRDefault="00217AA6" w:rsidP="004D156B">
      <w:pPr>
        <w:rPr>
          <w:rFonts w:asciiTheme="majorHAnsi" w:eastAsia="Calibri" w:hAnsiTheme="majorHAnsi"/>
        </w:rPr>
      </w:pPr>
    </w:p>
    <w:sectPr w:rsidR="00217AA6" w:rsidRPr="004D156B" w:rsidSect="008E4E0B">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A55E79" w14:textId="77777777" w:rsidR="00F45069" w:rsidRDefault="00F45069" w:rsidP="00A53006">
      <w:r>
        <w:separator/>
      </w:r>
    </w:p>
  </w:endnote>
  <w:endnote w:type="continuationSeparator" w:id="0">
    <w:p w14:paraId="42195EB6" w14:textId="77777777" w:rsidR="00F45069" w:rsidRDefault="00F45069" w:rsidP="00A5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Oswald">
    <w:panose1 w:val="02000303000000000000"/>
    <w:charset w:val="EE"/>
    <w:family w:val="auto"/>
    <w:pitch w:val="variable"/>
    <w:sig w:usb0="A000006F" w:usb1="40000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BFBFBF" w:themeColor="background1" w:themeShade="BF"/>
        <w:sz w:val="16"/>
        <w:szCs w:val="16"/>
      </w:rPr>
      <w:id w:val="92605450"/>
      <w:docPartObj>
        <w:docPartGallery w:val="Page Numbers (Bottom of Page)"/>
        <w:docPartUnique/>
      </w:docPartObj>
    </w:sdtPr>
    <w:sdtEndPr>
      <w:rPr>
        <w:rFonts w:ascii="Oswald" w:hAnsi="Oswald"/>
        <w:color w:val="808080" w:themeColor="background1" w:themeShade="80"/>
      </w:rPr>
    </w:sdtEndPr>
    <w:sdtContent>
      <w:sdt>
        <w:sdtPr>
          <w:rPr>
            <w:rFonts w:ascii="Oswald" w:hAnsi="Oswald"/>
            <w:color w:val="808080" w:themeColor="background1" w:themeShade="80"/>
            <w:sz w:val="20"/>
            <w:szCs w:val="20"/>
          </w:rPr>
          <w:id w:val="860082579"/>
          <w:docPartObj>
            <w:docPartGallery w:val="Page Numbers (Top of Page)"/>
            <w:docPartUnique/>
          </w:docPartObj>
        </w:sdtPr>
        <w:sdtEndPr>
          <w:rPr>
            <w:sz w:val="16"/>
            <w:szCs w:val="16"/>
          </w:rPr>
        </w:sdtEndPr>
        <w:sdtContent>
          <w:p w14:paraId="499E3901" w14:textId="77777777" w:rsidR="00A53006" w:rsidRPr="00BD3A30" w:rsidRDefault="00A53006" w:rsidP="002E4134">
            <w:pPr>
              <w:pStyle w:val="Zpat"/>
              <w:jc w:val="right"/>
              <w:rPr>
                <w:rFonts w:ascii="Oswald" w:hAnsi="Oswald"/>
                <w:color w:val="808080" w:themeColor="background1" w:themeShade="80"/>
                <w:sz w:val="16"/>
                <w:szCs w:val="16"/>
              </w:rPr>
            </w:pPr>
            <w:r w:rsidRPr="00BD3A30">
              <w:rPr>
                <w:rFonts w:ascii="Oswald" w:hAnsi="Oswald"/>
                <w:color w:val="808080" w:themeColor="background1" w:themeShade="80"/>
                <w:sz w:val="16"/>
                <w:szCs w:val="16"/>
              </w:rPr>
              <w:t xml:space="preserve">Stránka </w:t>
            </w:r>
            <w:r w:rsidR="008E4E0B" w:rsidRPr="00BD3A30">
              <w:rPr>
                <w:rFonts w:ascii="Oswald" w:hAnsi="Oswald"/>
                <w:bCs/>
                <w:color w:val="808080" w:themeColor="background1" w:themeShade="80"/>
                <w:sz w:val="16"/>
                <w:szCs w:val="16"/>
              </w:rPr>
              <w:fldChar w:fldCharType="begin"/>
            </w:r>
            <w:r w:rsidRPr="00BD3A30">
              <w:rPr>
                <w:rFonts w:ascii="Oswald" w:hAnsi="Oswald"/>
                <w:bCs/>
                <w:color w:val="808080" w:themeColor="background1" w:themeShade="80"/>
                <w:sz w:val="16"/>
                <w:szCs w:val="16"/>
              </w:rPr>
              <w:instrText>PAGE</w:instrText>
            </w:r>
            <w:r w:rsidR="008E4E0B" w:rsidRPr="00BD3A30">
              <w:rPr>
                <w:rFonts w:ascii="Oswald" w:hAnsi="Oswald"/>
                <w:bCs/>
                <w:color w:val="808080" w:themeColor="background1" w:themeShade="80"/>
                <w:sz w:val="16"/>
                <w:szCs w:val="16"/>
              </w:rPr>
              <w:fldChar w:fldCharType="separate"/>
            </w:r>
            <w:r w:rsidR="001334EA">
              <w:rPr>
                <w:rFonts w:ascii="Oswald" w:hAnsi="Oswald"/>
                <w:bCs/>
                <w:noProof/>
                <w:color w:val="808080" w:themeColor="background1" w:themeShade="80"/>
                <w:sz w:val="16"/>
                <w:szCs w:val="16"/>
              </w:rPr>
              <w:t>1</w:t>
            </w:r>
            <w:r w:rsidR="008E4E0B" w:rsidRPr="00BD3A30">
              <w:rPr>
                <w:rFonts w:ascii="Oswald" w:hAnsi="Oswald"/>
                <w:bCs/>
                <w:color w:val="808080" w:themeColor="background1" w:themeShade="80"/>
                <w:sz w:val="16"/>
                <w:szCs w:val="16"/>
              </w:rPr>
              <w:fldChar w:fldCharType="end"/>
            </w:r>
            <w:r w:rsidRPr="00BD3A30">
              <w:rPr>
                <w:rFonts w:ascii="Oswald" w:hAnsi="Oswald"/>
                <w:color w:val="808080" w:themeColor="background1" w:themeShade="80"/>
                <w:sz w:val="16"/>
                <w:szCs w:val="16"/>
              </w:rPr>
              <w:t xml:space="preserve"> z </w:t>
            </w:r>
            <w:r w:rsidR="008E4E0B" w:rsidRPr="00BD3A30">
              <w:rPr>
                <w:rFonts w:ascii="Oswald" w:hAnsi="Oswald"/>
                <w:bCs/>
                <w:color w:val="808080" w:themeColor="background1" w:themeShade="80"/>
                <w:sz w:val="16"/>
                <w:szCs w:val="16"/>
              </w:rPr>
              <w:fldChar w:fldCharType="begin"/>
            </w:r>
            <w:r w:rsidRPr="00BD3A30">
              <w:rPr>
                <w:rFonts w:ascii="Oswald" w:hAnsi="Oswald"/>
                <w:bCs/>
                <w:color w:val="808080" w:themeColor="background1" w:themeShade="80"/>
                <w:sz w:val="16"/>
                <w:szCs w:val="16"/>
              </w:rPr>
              <w:instrText>NUMPAGES</w:instrText>
            </w:r>
            <w:r w:rsidR="008E4E0B" w:rsidRPr="00BD3A30">
              <w:rPr>
                <w:rFonts w:ascii="Oswald" w:hAnsi="Oswald"/>
                <w:bCs/>
                <w:color w:val="808080" w:themeColor="background1" w:themeShade="80"/>
                <w:sz w:val="16"/>
                <w:szCs w:val="16"/>
              </w:rPr>
              <w:fldChar w:fldCharType="separate"/>
            </w:r>
            <w:r w:rsidR="001334EA">
              <w:rPr>
                <w:rFonts w:ascii="Oswald" w:hAnsi="Oswald"/>
                <w:bCs/>
                <w:noProof/>
                <w:color w:val="808080" w:themeColor="background1" w:themeShade="80"/>
                <w:sz w:val="16"/>
                <w:szCs w:val="16"/>
              </w:rPr>
              <w:t>3</w:t>
            </w:r>
            <w:r w:rsidR="008E4E0B" w:rsidRPr="00BD3A30">
              <w:rPr>
                <w:rFonts w:ascii="Oswald" w:hAnsi="Oswald"/>
                <w:bCs/>
                <w:color w:val="808080" w:themeColor="background1" w:themeShade="80"/>
                <w:sz w:val="16"/>
                <w:szCs w:val="16"/>
              </w:rPr>
              <w:fldChar w:fldCharType="end"/>
            </w:r>
          </w:p>
        </w:sdtContent>
      </w:sdt>
    </w:sdtContent>
  </w:sdt>
  <w:p w14:paraId="55FDC875" w14:textId="77777777" w:rsidR="00A53006" w:rsidRPr="00BD3A30" w:rsidRDefault="00A53006" w:rsidP="00A53006">
    <w:pPr>
      <w:pStyle w:val="Zpat"/>
      <w:jc w:val="center"/>
      <w:rPr>
        <w:rFonts w:ascii="Oswald" w:hAnsi="Oswald"/>
        <w:color w:val="808080" w:themeColor="background1" w:themeShade="80"/>
        <w:sz w:val="16"/>
        <w:szCs w:val="16"/>
      </w:rPr>
    </w:pPr>
  </w:p>
  <w:p w14:paraId="04001C54" w14:textId="77777777" w:rsidR="00A53006" w:rsidRPr="00BD3A30" w:rsidRDefault="002E4134" w:rsidP="00A53006">
    <w:pPr>
      <w:pStyle w:val="Zpat"/>
      <w:jc w:val="center"/>
      <w:rPr>
        <w:rFonts w:ascii="Oswald" w:hAnsi="Oswald"/>
        <w:color w:val="808080" w:themeColor="background1" w:themeShade="80"/>
        <w:sz w:val="16"/>
        <w:szCs w:val="16"/>
      </w:rPr>
    </w:pPr>
    <w:r w:rsidRPr="00BD3A30">
      <w:rPr>
        <w:rFonts w:ascii="Oswald" w:hAnsi="Oswald"/>
        <w:color w:val="808080" w:themeColor="background1" w:themeShade="80"/>
        <w:sz w:val="16"/>
        <w:szCs w:val="16"/>
      </w:rPr>
      <w:t xml:space="preserve">| </w:t>
    </w:r>
    <w:r w:rsidR="00A53006" w:rsidRPr="00BD3A30">
      <w:rPr>
        <w:rFonts w:ascii="Oswald" w:hAnsi="Oswald"/>
        <w:color w:val="808080" w:themeColor="background1" w:themeShade="80"/>
        <w:sz w:val="16"/>
        <w:szCs w:val="16"/>
      </w:rPr>
      <w:t xml:space="preserve">Transparency International </w:t>
    </w:r>
    <w:r w:rsidR="00C23101" w:rsidRPr="00BD3A30">
      <w:rPr>
        <w:rFonts w:ascii="Oswald" w:hAnsi="Oswald"/>
        <w:color w:val="808080" w:themeColor="background1" w:themeShade="80"/>
        <w:sz w:val="16"/>
        <w:szCs w:val="16"/>
      </w:rPr>
      <w:t xml:space="preserve">- </w:t>
    </w:r>
    <w:r w:rsidR="00A53006" w:rsidRPr="00BD3A30">
      <w:rPr>
        <w:rFonts w:ascii="Oswald" w:hAnsi="Oswald"/>
        <w:color w:val="808080" w:themeColor="background1" w:themeShade="80"/>
        <w:sz w:val="16"/>
        <w:szCs w:val="16"/>
      </w:rPr>
      <w:t xml:space="preserve">Česká republika, o. p. s. | Sokolovská 260/143, 180 00 Praha 8, Česká republika | </w:t>
    </w:r>
  </w:p>
  <w:p w14:paraId="134B849B" w14:textId="2C96ECB6" w:rsidR="00A53006" w:rsidRPr="00BD3A30" w:rsidRDefault="00A53006" w:rsidP="00A53006">
    <w:pPr>
      <w:pStyle w:val="Zpat"/>
      <w:jc w:val="center"/>
      <w:rPr>
        <w:rFonts w:ascii="Oswald" w:hAnsi="Oswald"/>
        <w:color w:val="808080" w:themeColor="background1" w:themeShade="80"/>
        <w:sz w:val="16"/>
        <w:szCs w:val="16"/>
      </w:rPr>
    </w:pPr>
    <w:r w:rsidRPr="00BD3A30">
      <w:rPr>
        <w:rFonts w:ascii="Oswald" w:hAnsi="Oswald"/>
        <w:color w:val="808080" w:themeColor="background1" w:themeShade="80"/>
        <w:sz w:val="16"/>
        <w:szCs w:val="16"/>
      </w:rPr>
      <w:t xml:space="preserve">| Tel: +420 224 240 895-7 | </w:t>
    </w:r>
    <w:hyperlink r:id="rId1" w:history="1">
      <w:r w:rsidR="00BD3A30" w:rsidRPr="00BD3A30">
        <w:rPr>
          <w:rStyle w:val="Hypertextovodkaz"/>
          <w:rFonts w:ascii="Oswald" w:hAnsi="Oswald"/>
          <w:color w:val="808080" w:themeColor="background1" w:themeShade="80"/>
          <w:sz w:val="16"/>
          <w:szCs w:val="16"/>
        </w:rPr>
        <w:t>posta@transparency.cz</w:t>
      </w:r>
    </w:hyperlink>
    <w:r w:rsidR="00BD3A30" w:rsidRPr="00BD3A30">
      <w:rPr>
        <w:rFonts w:ascii="Oswald" w:hAnsi="Oswald"/>
        <w:color w:val="808080" w:themeColor="background1" w:themeShade="80"/>
        <w:sz w:val="16"/>
        <w:szCs w:val="16"/>
      </w:rPr>
      <w:t xml:space="preserve"> </w:t>
    </w:r>
    <w:r w:rsidRPr="00BD3A30">
      <w:rPr>
        <w:rFonts w:ascii="Oswald" w:hAnsi="Oswald"/>
        <w:color w:val="808080" w:themeColor="background1" w:themeShade="80"/>
        <w:sz w:val="16"/>
        <w:szCs w:val="16"/>
      </w:rPr>
      <w:t xml:space="preserve">| </w:t>
    </w:r>
    <w:hyperlink r:id="rId2" w:history="1">
      <w:r w:rsidR="00BD3A30" w:rsidRPr="00BD3A30">
        <w:rPr>
          <w:rStyle w:val="Hypertextovodkaz"/>
          <w:rFonts w:ascii="Oswald" w:hAnsi="Oswald"/>
          <w:color w:val="808080" w:themeColor="background1" w:themeShade="80"/>
          <w:sz w:val="16"/>
          <w:szCs w:val="16"/>
        </w:rPr>
        <w:t>www.transparency.cz</w:t>
      </w:r>
    </w:hyperlink>
    <w:r w:rsidRPr="00BD3A30">
      <w:rPr>
        <w:rFonts w:ascii="Oswald" w:hAnsi="Oswald"/>
        <w:color w:val="808080" w:themeColor="background1" w:themeShade="80"/>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97846" w14:textId="77777777" w:rsidR="00F45069" w:rsidRDefault="00F45069" w:rsidP="00A53006">
      <w:r>
        <w:separator/>
      </w:r>
    </w:p>
  </w:footnote>
  <w:footnote w:type="continuationSeparator" w:id="0">
    <w:p w14:paraId="69F59B4B" w14:textId="77777777" w:rsidR="00F45069" w:rsidRDefault="00F45069" w:rsidP="00A53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950DB" w14:textId="77777777" w:rsidR="00A53006" w:rsidRDefault="00A53006" w:rsidP="00A53006">
    <w:pPr>
      <w:pStyle w:val="Zhlav"/>
      <w:tabs>
        <w:tab w:val="clear" w:pos="4536"/>
        <w:tab w:val="clear" w:pos="9072"/>
        <w:tab w:val="left" w:pos="4020"/>
      </w:tabs>
    </w:pPr>
    <w:r>
      <w:rPr>
        <w:noProof/>
        <w:lang w:eastAsia="cs-CZ"/>
      </w:rPr>
      <w:drawing>
        <wp:anchor distT="0" distB="0" distL="114300" distR="114300" simplePos="0" relativeHeight="251658240" behindDoc="1" locked="0" layoutInCell="1" allowOverlap="1" wp14:anchorId="127AF540" wp14:editId="121F53BF">
          <wp:simplePos x="0" y="0"/>
          <wp:positionH relativeFrom="column">
            <wp:posOffset>-52070</wp:posOffset>
          </wp:positionH>
          <wp:positionV relativeFrom="paragraph">
            <wp:posOffset>7620</wp:posOffset>
          </wp:positionV>
          <wp:extent cx="1962150" cy="285750"/>
          <wp:effectExtent l="0" t="0" r="0" b="0"/>
          <wp:wrapTight wrapText="bothSides">
            <wp:wrapPolygon edited="0">
              <wp:start x="0" y="0"/>
              <wp:lineTo x="0" y="20160"/>
              <wp:lineTo x="21390" y="20160"/>
              <wp:lineTo x="21390"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TI Č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2150" cy="285750"/>
                  </a:xfrm>
                  <a:prstGeom prst="rect">
                    <a:avLst/>
                  </a:prstGeom>
                </pic:spPr>
              </pic:pic>
            </a:graphicData>
          </a:graphic>
        </wp:anchor>
      </w:drawing>
    </w:r>
    <w:r>
      <w:tab/>
    </w:r>
  </w:p>
  <w:p w14:paraId="0B3FE3CA" w14:textId="77777777" w:rsidR="00A53006" w:rsidRDefault="00A53006" w:rsidP="00A53006">
    <w:pPr>
      <w:pStyle w:val="Zhlav"/>
      <w:tabs>
        <w:tab w:val="clear" w:pos="4536"/>
        <w:tab w:val="clear" w:pos="9072"/>
        <w:tab w:val="left" w:pos="4020"/>
      </w:tabs>
    </w:pPr>
  </w:p>
  <w:p w14:paraId="2D126405" w14:textId="77777777" w:rsidR="00A53006" w:rsidRPr="002E4134" w:rsidRDefault="006538FF" w:rsidP="00A53006">
    <w:pPr>
      <w:pStyle w:val="Zhlav"/>
      <w:tabs>
        <w:tab w:val="clear" w:pos="4536"/>
        <w:tab w:val="clear" w:pos="9072"/>
        <w:tab w:val="left" w:pos="4020"/>
      </w:tabs>
      <w:rPr>
        <w:rFonts w:ascii="Oswald" w:hAnsi="Oswald"/>
        <w:i/>
        <w:color w:val="0065B3"/>
        <w:sz w:val="20"/>
        <w:szCs w:val="20"/>
      </w:rPr>
    </w:pPr>
    <w:r>
      <w:rPr>
        <w:rFonts w:ascii="Oswald" w:hAnsi="Oswald"/>
        <w:i/>
        <w:color w:val="0065B3"/>
        <w:sz w:val="20"/>
        <w:szCs w:val="20"/>
      </w:rPr>
      <w:t>„</w:t>
    </w:r>
    <w:r w:rsidR="00A53006" w:rsidRPr="002E4134">
      <w:rPr>
        <w:rFonts w:ascii="Oswald" w:hAnsi="Oswald"/>
        <w:i/>
        <w:color w:val="0065B3"/>
        <w:sz w:val="20"/>
        <w:szCs w:val="20"/>
      </w:rPr>
      <w:t>Hlídáme veřejný zájem, hájíme efektivní a odpovědnou správu země.</w:t>
    </w:r>
    <w:r>
      <w:rPr>
        <w:rFonts w:ascii="Oswald" w:hAnsi="Oswald"/>
        <w:i/>
        <w:color w:val="0065B3"/>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85C13"/>
    <w:multiLevelType w:val="hybridMultilevel"/>
    <w:tmpl w:val="9264927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D705EBC"/>
    <w:multiLevelType w:val="hybridMultilevel"/>
    <w:tmpl w:val="F7BEDC34"/>
    <w:lvl w:ilvl="0" w:tplc="A964DC0A">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53006"/>
    <w:rsid w:val="000028BC"/>
    <w:rsid w:val="00026D61"/>
    <w:rsid w:val="00090EB7"/>
    <w:rsid w:val="000911EA"/>
    <w:rsid w:val="000928FA"/>
    <w:rsid w:val="00097516"/>
    <w:rsid w:val="000C61E4"/>
    <w:rsid w:val="000D23BA"/>
    <w:rsid w:val="00111862"/>
    <w:rsid w:val="001334EA"/>
    <w:rsid w:val="00142482"/>
    <w:rsid w:val="00177DA0"/>
    <w:rsid w:val="001A49F4"/>
    <w:rsid w:val="001B71D2"/>
    <w:rsid w:val="001C5A91"/>
    <w:rsid w:val="001D68F0"/>
    <w:rsid w:val="00217AA6"/>
    <w:rsid w:val="002636DC"/>
    <w:rsid w:val="00265A05"/>
    <w:rsid w:val="002B0D90"/>
    <w:rsid w:val="002B448E"/>
    <w:rsid w:val="002D7AB3"/>
    <w:rsid w:val="002E4134"/>
    <w:rsid w:val="003B3D7E"/>
    <w:rsid w:val="003C12C7"/>
    <w:rsid w:val="003D2533"/>
    <w:rsid w:val="00445F84"/>
    <w:rsid w:val="00486B90"/>
    <w:rsid w:val="004D156B"/>
    <w:rsid w:val="00526E11"/>
    <w:rsid w:val="00584CA9"/>
    <w:rsid w:val="00585C70"/>
    <w:rsid w:val="00587E86"/>
    <w:rsid w:val="00590AF9"/>
    <w:rsid w:val="005975B8"/>
    <w:rsid w:val="005E16D8"/>
    <w:rsid w:val="005F4CD9"/>
    <w:rsid w:val="0060182D"/>
    <w:rsid w:val="006306C3"/>
    <w:rsid w:val="00633DF3"/>
    <w:rsid w:val="006538FF"/>
    <w:rsid w:val="0066337A"/>
    <w:rsid w:val="006709C8"/>
    <w:rsid w:val="00692F72"/>
    <w:rsid w:val="006A2E75"/>
    <w:rsid w:val="006E5039"/>
    <w:rsid w:val="007034F7"/>
    <w:rsid w:val="00716470"/>
    <w:rsid w:val="007457A9"/>
    <w:rsid w:val="00772558"/>
    <w:rsid w:val="00772D43"/>
    <w:rsid w:val="00786744"/>
    <w:rsid w:val="007C6326"/>
    <w:rsid w:val="007E562F"/>
    <w:rsid w:val="007F35C7"/>
    <w:rsid w:val="00817E07"/>
    <w:rsid w:val="008202D7"/>
    <w:rsid w:val="0085703F"/>
    <w:rsid w:val="00860C65"/>
    <w:rsid w:val="008912C6"/>
    <w:rsid w:val="008B54CB"/>
    <w:rsid w:val="008B6169"/>
    <w:rsid w:val="008B6902"/>
    <w:rsid w:val="008E4E0B"/>
    <w:rsid w:val="008E71A1"/>
    <w:rsid w:val="008F19E0"/>
    <w:rsid w:val="00904325"/>
    <w:rsid w:val="009428B8"/>
    <w:rsid w:val="00943146"/>
    <w:rsid w:val="00956BFC"/>
    <w:rsid w:val="00960D2E"/>
    <w:rsid w:val="00966C16"/>
    <w:rsid w:val="009B0DB7"/>
    <w:rsid w:val="009C527B"/>
    <w:rsid w:val="009D2EE1"/>
    <w:rsid w:val="00A128BA"/>
    <w:rsid w:val="00A13754"/>
    <w:rsid w:val="00A45B78"/>
    <w:rsid w:val="00A53006"/>
    <w:rsid w:val="00A7219B"/>
    <w:rsid w:val="00A94B55"/>
    <w:rsid w:val="00A973C8"/>
    <w:rsid w:val="00AA364D"/>
    <w:rsid w:val="00AE0446"/>
    <w:rsid w:val="00AF145E"/>
    <w:rsid w:val="00AF7654"/>
    <w:rsid w:val="00B27F49"/>
    <w:rsid w:val="00B312E8"/>
    <w:rsid w:val="00B55876"/>
    <w:rsid w:val="00B82D9B"/>
    <w:rsid w:val="00BD3A30"/>
    <w:rsid w:val="00BF5B58"/>
    <w:rsid w:val="00C06A03"/>
    <w:rsid w:val="00C23101"/>
    <w:rsid w:val="00C860B2"/>
    <w:rsid w:val="00C8793C"/>
    <w:rsid w:val="00CA72FB"/>
    <w:rsid w:val="00CE17EF"/>
    <w:rsid w:val="00D3638F"/>
    <w:rsid w:val="00D77FD8"/>
    <w:rsid w:val="00D93DE2"/>
    <w:rsid w:val="00DB1FB3"/>
    <w:rsid w:val="00E2073C"/>
    <w:rsid w:val="00E3338E"/>
    <w:rsid w:val="00E44FE8"/>
    <w:rsid w:val="00ED01D0"/>
    <w:rsid w:val="00EF11C9"/>
    <w:rsid w:val="00F11950"/>
    <w:rsid w:val="00F45069"/>
    <w:rsid w:val="00F5080A"/>
    <w:rsid w:val="00F71C90"/>
    <w:rsid w:val="00F85897"/>
    <w:rsid w:val="00F95824"/>
    <w:rsid w:val="00FB403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83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403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unhideWhenUsed/>
    <w:qFormat/>
    <w:rsid w:val="00A5300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53006"/>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A53006"/>
  </w:style>
  <w:style w:type="paragraph" w:styleId="Zpat">
    <w:name w:val="footer"/>
    <w:basedOn w:val="Normln"/>
    <w:link w:val="ZpatChar"/>
    <w:uiPriority w:val="99"/>
    <w:unhideWhenUsed/>
    <w:rsid w:val="00A53006"/>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A53006"/>
  </w:style>
  <w:style w:type="paragraph" w:styleId="Textbubliny">
    <w:name w:val="Balloon Text"/>
    <w:basedOn w:val="Normln"/>
    <w:link w:val="TextbublinyChar"/>
    <w:uiPriority w:val="99"/>
    <w:semiHidden/>
    <w:unhideWhenUsed/>
    <w:rsid w:val="00A53006"/>
    <w:rPr>
      <w:rFonts w:ascii="Tahoma" w:hAnsi="Tahoma" w:cs="Tahoma"/>
      <w:sz w:val="16"/>
      <w:szCs w:val="16"/>
    </w:rPr>
  </w:style>
  <w:style w:type="character" w:customStyle="1" w:styleId="TextbublinyChar">
    <w:name w:val="Text bubliny Char"/>
    <w:basedOn w:val="Standardnpsmoodstavce"/>
    <w:link w:val="Textbubliny"/>
    <w:uiPriority w:val="99"/>
    <w:semiHidden/>
    <w:rsid w:val="00A53006"/>
    <w:rPr>
      <w:rFonts w:ascii="Tahoma" w:hAnsi="Tahoma" w:cs="Tahoma"/>
      <w:sz w:val="16"/>
      <w:szCs w:val="16"/>
    </w:rPr>
  </w:style>
  <w:style w:type="character" w:customStyle="1" w:styleId="Nadpis2Char">
    <w:name w:val="Nadpis 2 Char"/>
    <w:basedOn w:val="Standardnpsmoodstavce"/>
    <w:link w:val="Nadpis2"/>
    <w:uiPriority w:val="9"/>
    <w:rsid w:val="00A53006"/>
    <w:rPr>
      <w:rFonts w:asciiTheme="majorHAnsi" w:eastAsiaTheme="majorEastAsia" w:hAnsiTheme="majorHAnsi" w:cstheme="majorBidi"/>
      <w:b/>
      <w:bCs/>
      <w:color w:val="4F81BD" w:themeColor="accent1"/>
      <w:sz w:val="26"/>
      <w:szCs w:val="26"/>
    </w:rPr>
  </w:style>
  <w:style w:type="paragraph" w:styleId="Textkomente">
    <w:name w:val="annotation text"/>
    <w:basedOn w:val="Normln"/>
    <w:link w:val="TextkomenteChar"/>
    <w:uiPriority w:val="99"/>
    <w:semiHidden/>
    <w:unhideWhenUsed/>
    <w:rsid w:val="00A53006"/>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A53006"/>
    <w:rPr>
      <w:sz w:val="20"/>
      <w:szCs w:val="20"/>
    </w:rPr>
  </w:style>
  <w:style w:type="paragraph" w:styleId="Odstavecseseznamem">
    <w:name w:val="List Paragraph"/>
    <w:basedOn w:val="Normln"/>
    <w:uiPriority w:val="34"/>
    <w:qFormat/>
    <w:rsid w:val="007457A9"/>
    <w:pPr>
      <w:ind w:left="720"/>
      <w:contextualSpacing/>
    </w:pPr>
    <w:rPr>
      <w:rFonts w:asciiTheme="minorHAnsi" w:eastAsiaTheme="minorEastAsia" w:hAnsiTheme="minorHAnsi" w:cstheme="minorBidi"/>
    </w:rPr>
  </w:style>
  <w:style w:type="character" w:styleId="Hypertextovodkaz">
    <w:name w:val="Hyperlink"/>
    <w:basedOn w:val="Standardnpsmoodstavce"/>
    <w:uiPriority w:val="99"/>
    <w:unhideWhenUsed/>
    <w:rsid w:val="007457A9"/>
    <w:rPr>
      <w:color w:val="0000FF" w:themeColor="hyperlink"/>
      <w:u w:val="single"/>
    </w:rPr>
  </w:style>
  <w:style w:type="paragraph" w:styleId="Textpoznpodarou">
    <w:name w:val="footnote text"/>
    <w:basedOn w:val="Normln"/>
    <w:link w:val="TextpoznpodarouChar"/>
    <w:uiPriority w:val="99"/>
    <w:rsid w:val="00AF7654"/>
    <w:rPr>
      <w:rFonts w:ascii="Calibri" w:eastAsia="Calibri" w:hAnsi="Calibri" w:cs="Calibri"/>
      <w:sz w:val="20"/>
      <w:szCs w:val="20"/>
      <w:lang w:eastAsia="ar-SA"/>
    </w:rPr>
  </w:style>
  <w:style w:type="character" w:customStyle="1" w:styleId="TextpoznpodarouChar">
    <w:name w:val="Text pozn. pod čarou Char"/>
    <w:basedOn w:val="Standardnpsmoodstavce"/>
    <w:link w:val="Textpoznpodarou"/>
    <w:uiPriority w:val="99"/>
    <w:rsid w:val="00AF7654"/>
    <w:rPr>
      <w:rFonts w:ascii="Calibri" w:eastAsia="Calibri" w:hAnsi="Calibri" w:cs="Calibri"/>
      <w:sz w:val="20"/>
      <w:szCs w:val="20"/>
      <w:lang w:eastAsia="ar-SA"/>
    </w:rPr>
  </w:style>
  <w:style w:type="character" w:styleId="Znakapoznpodarou">
    <w:name w:val="footnote reference"/>
    <w:uiPriority w:val="99"/>
    <w:semiHidden/>
    <w:unhideWhenUsed/>
    <w:rsid w:val="00AF7654"/>
    <w:rPr>
      <w:vertAlign w:val="superscript"/>
    </w:rPr>
  </w:style>
  <w:style w:type="paragraph" w:styleId="Vrazncitt">
    <w:name w:val="Intense Quote"/>
    <w:basedOn w:val="Normln"/>
    <w:next w:val="Normln"/>
    <w:link w:val="VrazncittChar"/>
    <w:uiPriority w:val="30"/>
    <w:qFormat/>
    <w:rsid w:val="00A45B78"/>
    <w:pPr>
      <w:pBdr>
        <w:bottom w:val="single" w:sz="4" w:space="4" w:color="4F81BD" w:themeColor="accent1"/>
      </w:pBdr>
      <w:spacing w:before="200" w:after="280" w:line="276" w:lineRule="auto"/>
      <w:ind w:left="936" w:right="936"/>
    </w:pPr>
    <w:rPr>
      <w:rFonts w:ascii="Calibri" w:eastAsia="Calibri" w:hAnsi="Calibri"/>
      <w:b/>
      <w:bCs/>
      <w:i/>
      <w:iCs/>
      <w:color w:val="4F81BD" w:themeColor="accent1"/>
      <w:sz w:val="22"/>
      <w:szCs w:val="22"/>
    </w:rPr>
  </w:style>
  <w:style w:type="character" w:customStyle="1" w:styleId="VrazncittChar">
    <w:name w:val="Výrazný citát Char"/>
    <w:basedOn w:val="Standardnpsmoodstavce"/>
    <w:link w:val="Vrazncitt"/>
    <w:uiPriority w:val="30"/>
    <w:rsid w:val="00A45B78"/>
    <w:rPr>
      <w:rFonts w:ascii="Calibri" w:eastAsia="Calibri" w:hAnsi="Calibri" w:cs="Times New Roman"/>
      <w:b/>
      <w:bCs/>
      <w:i/>
      <w:iCs/>
      <w:color w:val="4F81BD" w:themeColor="accent1"/>
      <w:lang w:eastAsia="cs-CZ"/>
    </w:rPr>
  </w:style>
  <w:style w:type="character" w:styleId="Odkaznakoment">
    <w:name w:val="annotation reference"/>
    <w:basedOn w:val="Standardnpsmoodstavce"/>
    <w:uiPriority w:val="99"/>
    <w:semiHidden/>
    <w:unhideWhenUsed/>
    <w:rsid w:val="008E71A1"/>
    <w:rPr>
      <w:sz w:val="16"/>
      <w:szCs w:val="16"/>
    </w:rPr>
  </w:style>
  <w:style w:type="paragraph" w:styleId="Pedmtkomente">
    <w:name w:val="annotation subject"/>
    <w:basedOn w:val="Textkomente"/>
    <w:next w:val="Textkomente"/>
    <w:link w:val="PedmtkomenteChar"/>
    <w:uiPriority w:val="99"/>
    <w:semiHidden/>
    <w:unhideWhenUsed/>
    <w:rsid w:val="008E71A1"/>
    <w:pPr>
      <w:spacing w:after="0"/>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uiPriority w:val="99"/>
    <w:semiHidden/>
    <w:rsid w:val="008E71A1"/>
    <w:rPr>
      <w:rFonts w:ascii="Times New Roman" w:eastAsia="Times New Roman" w:hAnsi="Times New Roman" w:cs="Times New Roman"/>
      <w:b/>
      <w:bCs/>
      <w:sz w:val="20"/>
      <w:szCs w:val="20"/>
      <w:lang w:eastAsia="cs-CZ"/>
    </w:rPr>
  </w:style>
  <w:style w:type="character" w:styleId="Sledovanodkaz">
    <w:name w:val="FollowedHyperlink"/>
    <w:basedOn w:val="Standardnpsmoodstavce"/>
    <w:uiPriority w:val="99"/>
    <w:semiHidden/>
    <w:unhideWhenUsed/>
    <w:rsid w:val="0085703F"/>
    <w:rPr>
      <w:color w:val="800080" w:themeColor="followedHyperlink"/>
      <w:u w:val="single"/>
    </w:rPr>
  </w:style>
  <w:style w:type="paragraph" w:styleId="Nzev">
    <w:name w:val="Title"/>
    <w:basedOn w:val="Normln"/>
    <w:next w:val="Normln"/>
    <w:link w:val="NzevChar"/>
    <w:uiPriority w:val="10"/>
    <w:qFormat/>
    <w:rsid w:val="004D156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zevChar">
    <w:name w:val="Název Char"/>
    <w:basedOn w:val="Standardnpsmoodstavce"/>
    <w:link w:val="Nzev"/>
    <w:uiPriority w:val="10"/>
    <w:rsid w:val="004D156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403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unhideWhenUsed/>
    <w:qFormat/>
    <w:rsid w:val="00A5300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53006"/>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A53006"/>
  </w:style>
  <w:style w:type="paragraph" w:styleId="Zpat">
    <w:name w:val="footer"/>
    <w:basedOn w:val="Normln"/>
    <w:link w:val="ZpatChar"/>
    <w:uiPriority w:val="99"/>
    <w:unhideWhenUsed/>
    <w:rsid w:val="00A53006"/>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A53006"/>
  </w:style>
  <w:style w:type="paragraph" w:styleId="Textbubliny">
    <w:name w:val="Balloon Text"/>
    <w:basedOn w:val="Normln"/>
    <w:link w:val="TextbublinyChar"/>
    <w:uiPriority w:val="99"/>
    <w:semiHidden/>
    <w:unhideWhenUsed/>
    <w:rsid w:val="00A53006"/>
    <w:rPr>
      <w:rFonts w:ascii="Tahoma" w:hAnsi="Tahoma" w:cs="Tahoma"/>
      <w:sz w:val="16"/>
      <w:szCs w:val="16"/>
    </w:rPr>
  </w:style>
  <w:style w:type="character" w:customStyle="1" w:styleId="TextbublinyChar">
    <w:name w:val="Text bubliny Char"/>
    <w:basedOn w:val="Standardnpsmoodstavce"/>
    <w:link w:val="Textbubliny"/>
    <w:uiPriority w:val="99"/>
    <w:semiHidden/>
    <w:rsid w:val="00A53006"/>
    <w:rPr>
      <w:rFonts w:ascii="Tahoma" w:hAnsi="Tahoma" w:cs="Tahoma"/>
      <w:sz w:val="16"/>
      <w:szCs w:val="16"/>
    </w:rPr>
  </w:style>
  <w:style w:type="character" w:customStyle="1" w:styleId="Nadpis2Char">
    <w:name w:val="Nadpis 2 Char"/>
    <w:basedOn w:val="Standardnpsmoodstavce"/>
    <w:link w:val="Nadpis2"/>
    <w:uiPriority w:val="9"/>
    <w:rsid w:val="00A53006"/>
    <w:rPr>
      <w:rFonts w:asciiTheme="majorHAnsi" w:eastAsiaTheme="majorEastAsia" w:hAnsiTheme="majorHAnsi" w:cstheme="majorBidi"/>
      <w:b/>
      <w:bCs/>
      <w:color w:val="4F81BD" w:themeColor="accent1"/>
      <w:sz w:val="26"/>
      <w:szCs w:val="26"/>
    </w:rPr>
  </w:style>
  <w:style w:type="paragraph" w:styleId="Textkomente">
    <w:name w:val="annotation text"/>
    <w:basedOn w:val="Normln"/>
    <w:link w:val="TextkomenteChar"/>
    <w:uiPriority w:val="99"/>
    <w:semiHidden/>
    <w:unhideWhenUsed/>
    <w:rsid w:val="00A53006"/>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A53006"/>
    <w:rPr>
      <w:sz w:val="20"/>
      <w:szCs w:val="20"/>
    </w:rPr>
  </w:style>
  <w:style w:type="paragraph" w:styleId="Odstavecseseznamem">
    <w:name w:val="List Paragraph"/>
    <w:basedOn w:val="Normln"/>
    <w:uiPriority w:val="34"/>
    <w:qFormat/>
    <w:rsid w:val="007457A9"/>
    <w:pPr>
      <w:ind w:left="720"/>
      <w:contextualSpacing/>
    </w:pPr>
    <w:rPr>
      <w:rFonts w:asciiTheme="minorHAnsi" w:eastAsiaTheme="minorEastAsia" w:hAnsiTheme="minorHAnsi" w:cstheme="minorBidi"/>
    </w:rPr>
  </w:style>
  <w:style w:type="character" w:styleId="Hypertextovodkaz">
    <w:name w:val="Hyperlink"/>
    <w:basedOn w:val="Standardnpsmoodstavce"/>
    <w:uiPriority w:val="99"/>
    <w:unhideWhenUsed/>
    <w:rsid w:val="007457A9"/>
    <w:rPr>
      <w:color w:val="0000FF" w:themeColor="hyperlink"/>
      <w:u w:val="single"/>
    </w:rPr>
  </w:style>
  <w:style w:type="paragraph" w:styleId="Textpoznpodarou">
    <w:name w:val="footnote text"/>
    <w:basedOn w:val="Normln"/>
    <w:link w:val="TextpoznpodarouChar"/>
    <w:uiPriority w:val="99"/>
    <w:rsid w:val="00AF7654"/>
    <w:rPr>
      <w:rFonts w:ascii="Calibri" w:eastAsia="Calibri" w:hAnsi="Calibri" w:cs="Calibri"/>
      <w:sz w:val="20"/>
      <w:szCs w:val="20"/>
      <w:lang w:val="x-none" w:eastAsia="ar-SA"/>
    </w:rPr>
  </w:style>
  <w:style w:type="character" w:customStyle="1" w:styleId="TextpoznpodarouChar">
    <w:name w:val="Text pozn. pod čarou Char"/>
    <w:basedOn w:val="Standardnpsmoodstavce"/>
    <w:link w:val="Textpoznpodarou"/>
    <w:uiPriority w:val="99"/>
    <w:rsid w:val="00AF7654"/>
    <w:rPr>
      <w:rFonts w:ascii="Calibri" w:eastAsia="Calibri" w:hAnsi="Calibri" w:cs="Calibri"/>
      <w:sz w:val="20"/>
      <w:szCs w:val="20"/>
      <w:lang w:val="x-none" w:eastAsia="ar-SA"/>
    </w:rPr>
  </w:style>
  <w:style w:type="character" w:styleId="Znakapoznpodarou">
    <w:name w:val="footnote reference"/>
    <w:uiPriority w:val="99"/>
    <w:semiHidden/>
    <w:unhideWhenUsed/>
    <w:rsid w:val="00AF7654"/>
    <w:rPr>
      <w:vertAlign w:val="superscript"/>
    </w:rPr>
  </w:style>
  <w:style w:type="paragraph" w:styleId="Vrazncitt">
    <w:name w:val="Intense Quote"/>
    <w:basedOn w:val="Normln"/>
    <w:next w:val="Normln"/>
    <w:link w:val="VrazncittChar"/>
    <w:uiPriority w:val="30"/>
    <w:qFormat/>
    <w:rsid w:val="00A45B78"/>
    <w:pPr>
      <w:pBdr>
        <w:bottom w:val="single" w:sz="4" w:space="4" w:color="4F81BD" w:themeColor="accent1"/>
      </w:pBdr>
      <w:spacing w:before="200" w:after="280" w:line="276" w:lineRule="auto"/>
      <w:ind w:left="936" w:right="936"/>
    </w:pPr>
    <w:rPr>
      <w:rFonts w:ascii="Calibri" w:eastAsia="Calibri" w:hAnsi="Calibri"/>
      <w:b/>
      <w:bCs/>
      <w:i/>
      <w:iCs/>
      <w:color w:val="4F81BD" w:themeColor="accent1"/>
      <w:sz w:val="22"/>
      <w:szCs w:val="22"/>
    </w:rPr>
  </w:style>
  <w:style w:type="character" w:customStyle="1" w:styleId="VrazncittChar">
    <w:name w:val="Výrazný citát Char"/>
    <w:basedOn w:val="Standardnpsmoodstavce"/>
    <w:link w:val="Vrazncitt"/>
    <w:uiPriority w:val="30"/>
    <w:rsid w:val="00A45B78"/>
    <w:rPr>
      <w:rFonts w:ascii="Calibri" w:eastAsia="Calibri" w:hAnsi="Calibri" w:cs="Times New Roman"/>
      <w:b/>
      <w:bCs/>
      <w:i/>
      <w:iCs/>
      <w:color w:val="4F81BD" w:themeColor="accent1"/>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016577">
      <w:bodyDiv w:val="1"/>
      <w:marLeft w:val="0"/>
      <w:marRight w:val="0"/>
      <w:marTop w:val="0"/>
      <w:marBottom w:val="0"/>
      <w:divBdr>
        <w:top w:val="none" w:sz="0" w:space="0" w:color="auto"/>
        <w:left w:val="none" w:sz="0" w:space="0" w:color="auto"/>
        <w:bottom w:val="none" w:sz="0" w:space="0" w:color="auto"/>
        <w:right w:val="none" w:sz="0" w:space="0" w:color="auto"/>
      </w:divBdr>
    </w:div>
    <w:div w:id="207331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ures@transparency.cz"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ondracka@transparency.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apiskej.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ransparency.cz/wp-content/uploads/Z&#225;v&#283;re&#269;n&#225;-zpr&#225;va-vy&#353;et&#345;ovac&#237;-komise-Poslaneck&#233;-sn&#283;movny-k-prov&#283;&#345;en&#237;-zp&#367;sobu-vy&#353;et&#345;ov&#225;n&#237;-kauzy-Opencard.pdf" TargetMode="External"/><Relationship Id="rId4" Type="http://schemas.openxmlformats.org/officeDocument/2006/relationships/settings" Target="settings.xml"/><Relationship Id="rId9" Type="http://schemas.openxmlformats.org/officeDocument/2006/relationships/hyperlink" Target="http://www.transparency.cz/kauza-prvni-chranena-dilna/" TargetMode="External"/><Relationship Id="rId14" Type="http://schemas.openxmlformats.org/officeDocument/2006/relationships/hyperlink" Target="mailto:leyer@transparency.cz"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transparency.cz" TargetMode="External"/><Relationship Id="rId1" Type="http://schemas.openxmlformats.org/officeDocument/2006/relationships/hyperlink" Target="mailto:posta@transparenc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935</Words>
  <Characters>5519</Characters>
  <Application>Microsoft Office Word</Application>
  <DocSecurity>0</DocSecurity>
  <Lines>45</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Kotora</dc:creator>
  <cp:lastModifiedBy>Apollo</cp:lastModifiedBy>
  <cp:revision>16</cp:revision>
  <cp:lastPrinted>2015-01-21T11:47:00Z</cp:lastPrinted>
  <dcterms:created xsi:type="dcterms:W3CDTF">2015-10-20T19:55:00Z</dcterms:created>
  <dcterms:modified xsi:type="dcterms:W3CDTF">2015-12-08T22:56:00Z</dcterms:modified>
</cp:coreProperties>
</file>