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9" w:rsidRPr="00335FFA" w:rsidRDefault="007457A9" w:rsidP="007457A9">
      <w:pPr>
        <w:jc w:val="both"/>
        <w:rPr>
          <w:sz w:val="25"/>
          <w:szCs w:val="25"/>
        </w:rPr>
      </w:pPr>
    </w:p>
    <w:p w:rsidR="008125D6" w:rsidRPr="00335FFA" w:rsidRDefault="008125D6" w:rsidP="008125D6">
      <w:pPr>
        <w:rPr>
          <w:b/>
          <w:sz w:val="36"/>
          <w:szCs w:val="36"/>
          <w:vertAlign w:val="superscript"/>
        </w:rPr>
      </w:pPr>
      <w:r w:rsidRPr="00335FFA">
        <w:rPr>
          <w:b/>
          <w:sz w:val="36"/>
          <w:szCs w:val="36"/>
          <w:vertAlign w:val="superscript"/>
        </w:rPr>
        <w:t xml:space="preserve">TISKOVÁ ZPRÁVA TI </w:t>
      </w:r>
    </w:p>
    <w:p w:rsidR="008125D6" w:rsidRPr="00335FFA" w:rsidRDefault="008125D6" w:rsidP="008125D6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eastAsia="Calibri"/>
          <w:b/>
          <w:bCs/>
          <w:i/>
          <w:iCs/>
          <w:color w:val="0065B3"/>
          <w:sz w:val="28"/>
          <w:szCs w:val="28"/>
        </w:rPr>
      </w:pPr>
      <w:r w:rsidRPr="00335FFA">
        <w:rPr>
          <w:rFonts w:eastAsia="Calibri"/>
          <w:b/>
          <w:bCs/>
          <w:i/>
          <w:iCs/>
          <w:color w:val="0065B3"/>
          <w:sz w:val="28"/>
          <w:szCs w:val="28"/>
        </w:rPr>
        <w:t xml:space="preserve">Česká republika poskočila o 16 míst v žebříčku Indexu vnímání korupce, ale k průměru evropských států má stále daleko </w:t>
      </w:r>
    </w:p>
    <w:p w:rsidR="008125D6" w:rsidRPr="00335FFA" w:rsidRDefault="008125D6" w:rsidP="008125D6">
      <w:pPr>
        <w:jc w:val="both"/>
        <w:rPr>
          <w:b/>
        </w:rPr>
      </w:pPr>
      <w:r w:rsidRPr="00335FFA">
        <w:rPr>
          <w:b/>
          <w:noProof/>
        </w:rPr>
        <w:drawing>
          <wp:inline distT="0" distB="0" distL="0" distR="0" wp14:anchorId="53049EFD" wp14:editId="735421BB">
            <wp:extent cx="5762625" cy="4029075"/>
            <wp:effectExtent l="0" t="0" r="9525" b="9525"/>
            <wp:docPr id="2" name="Obrázek 2" descr="Z:\PR\Grafika\Infografika\CPI 2015\CPI 2015 - Infografika Česká republika - výsledky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\Grafika\Infografika\CPI 2015\CPI 2015 - Infografika Česká republika - výsledk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D6" w:rsidRPr="008125D6" w:rsidRDefault="009B0182" w:rsidP="008125D6">
      <w:pPr>
        <w:spacing w:before="100" w:beforeAutospacing="1" w:after="100" w:afterAutospacing="1" w:line="360" w:lineRule="atLeast"/>
        <w:outlineLvl w:val="3"/>
        <w:rPr>
          <w:b/>
          <w:bCs/>
          <w:color w:val="A6A6A6" w:themeColor="background1" w:themeShade="A6"/>
        </w:rPr>
      </w:pPr>
      <w:hyperlink r:id="rId10" w:history="1">
        <w:r w:rsidR="008125D6" w:rsidRPr="00335FFA">
          <w:rPr>
            <w:rStyle w:val="Hypertextovodkaz"/>
            <w:b/>
            <w:bCs/>
            <w:color w:val="A6A6A6" w:themeColor="background1" w:themeShade="A6"/>
            <w:vertAlign w:val="superscript"/>
          </w:rPr>
          <w:t>"Index vnímání korupce 2015"</w:t>
        </w:r>
      </w:hyperlink>
      <w:r w:rsidR="008125D6" w:rsidRPr="008125D6">
        <w:rPr>
          <w:b/>
          <w:bCs/>
          <w:color w:val="A6A6A6" w:themeColor="background1" w:themeShade="A6"/>
          <w:vertAlign w:val="superscript"/>
        </w:rPr>
        <w:t xml:space="preserve"> (Corruption Perceptions Index, CPI) | zdroj: TI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 xml:space="preserve">Praha, 27. ledna 2016 – Mezinárodní sekretariát Transparency International dnes zveřejnil </w:t>
      </w:r>
      <w:r w:rsidR="00BE0222" w:rsidRPr="00C41182">
        <w:rPr>
          <w:b/>
          <w:sz w:val="22"/>
          <w:szCs w:val="22"/>
        </w:rPr>
        <w:t>„</w:t>
      </w:r>
      <w:r w:rsidRPr="00C41182">
        <w:rPr>
          <w:b/>
          <w:sz w:val="22"/>
          <w:szCs w:val="22"/>
        </w:rPr>
        <w:t>Index vnímání korupce za rok 2015</w:t>
      </w:r>
      <w:r w:rsidR="00BE0222" w:rsidRPr="00C41182">
        <w:rPr>
          <w:b/>
          <w:sz w:val="22"/>
          <w:szCs w:val="22"/>
        </w:rPr>
        <w:t xml:space="preserve">“. </w:t>
      </w:r>
      <w:r w:rsidRPr="00C41182">
        <w:rPr>
          <w:b/>
          <w:sz w:val="22"/>
          <w:szCs w:val="22"/>
        </w:rPr>
        <w:t>Postavení České republiky se dramaticky zlepšilo, když se na žebříčku států posunula z 53.  na 37. místo ve světě. Dosáhla hodnoty 56 bodů (ze sta možných) a zařadila se mezi Španělsko a Jižní Koreu. K evropskému průměru (67 bodů) však má stále daleko.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V Indexu vnímání korupce se Česká republika po mnoha letech propadu již druhým rokem zlepšuje. Zatímco v roce 2014 zlepšení o 3 body představovalo posunutí o 4 místa v žebříčku, v roce 2015 zlepšení akcelerovalo na 5 bodů a významných 16 příček žebříčku. Česká republika se tak stala největším „skokanem“ roku.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Default="008125D6" w:rsidP="008125D6">
      <w:pPr>
        <w:jc w:val="both"/>
        <w:rPr>
          <w:sz w:val="22"/>
          <w:szCs w:val="22"/>
        </w:rPr>
      </w:pPr>
      <w:r w:rsidRPr="00C41182">
        <w:rPr>
          <w:i/>
          <w:sz w:val="22"/>
          <w:szCs w:val="22"/>
        </w:rPr>
        <w:t>„Potvrdilo se, že dlouhodobé úsilí a tlak na omezování korupčních příležitostí a postih korupce přináší výsledky. Pokračující trend zlepšování jsme předvídali, takhle razantní zlepšení ale přec</w:t>
      </w:r>
      <w:r w:rsidR="00335FFA" w:rsidRPr="00C41182">
        <w:rPr>
          <w:i/>
          <w:sz w:val="22"/>
          <w:szCs w:val="22"/>
        </w:rPr>
        <w:t>e jenom nikoli,“</w:t>
      </w:r>
      <w:r w:rsidRPr="00C41182">
        <w:rPr>
          <w:i/>
          <w:sz w:val="22"/>
          <w:szCs w:val="22"/>
        </w:rPr>
        <w:t xml:space="preserve"> </w:t>
      </w:r>
      <w:r w:rsidRPr="00C41182">
        <w:rPr>
          <w:sz w:val="22"/>
          <w:szCs w:val="22"/>
        </w:rPr>
        <w:t xml:space="preserve">říká Radim Bureš, programový ředitel Transparency International. </w:t>
      </w:r>
    </w:p>
    <w:p w:rsidR="003F70D2" w:rsidRDefault="003F70D2" w:rsidP="008125D6">
      <w:pPr>
        <w:jc w:val="both"/>
        <w:rPr>
          <w:sz w:val="22"/>
          <w:szCs w:val="22"/>
        </w:rPr>
      </w:pPr>
    </w:p>
    <w:p w:rsidR="003F70D2" w:rsidRDefault="003F70D2" w:rsidP="008125D6">
      <w:pPr>
        <w:jc w:val="both"/>
        <w:rPr>
          <w:sz w:val="22"/>
          <w:szCs w:val="22"/>
        </w:rPr>
      </w:pPr>
    </w:p>
    <w:p w:rsidR="003F70D2" w:rsidRPr="00C41182" w:rsidRDefault="003F70D2" w:rsidP="008125D6">
      <w:pPr>
        <w:jc w:val="both"/>
        <w:rPr>
          <w:sz w:val="22"/>
          <w:szCs w:val="22"/>
        </w:rPr>
      </w:pPr>
    </w:p>
    <w:p w:rsidR="003F70D2" w:rsidRDefault="003F70D2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 xml:space="preserve">Z hlediska srovnání </w:t>
      </w:r>
      <w:r w:rsidRPr="00C41182">
        <w:rPr>
          <w:b/>
          <w:sz w:val="22"/>
          <w:szCs w:val="22"/>
        </w:rPr>
        <w:t>evropských zemí se ČR posunula z 25. místa na 22.,</w:t>
      </w:r>
      <w:r w:rsidRPr="00C41182">
        <w:rPr>
          <w:sz w:val="22"/>
          <w:szCs w:val="22"/>
        </w:rPr>
        <w:t xml:space="preserve"> je sice stále za Estonskem (14. místo, 70 bodů) Polskem (17. příčka, 62 bodů), ale výrazně předběhla Maďarsko (25. místo s 51 body) a Slovensko (na stejném místě). Na chvost Evropy se dostala Itálie (44 bodů) a úplně poslední Bulharsko (41 bodů).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Celosvětově v čele žebříčku Indexu vnímání korupce nadále zůstávají severské země a Nový Zéland. První Dánsko má 91 bodů, druhé Finsko s 90 body, třetí Švédsko s 89 body následované Novým Zélandem s 88 body.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Jaké jsou hlavní příčiny zlepšení?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 xml:space="preserve">Data pro Index se sbírají v průběhu roku 2014/2015 a výsledek tedy neodráží nějakou jednotlivou nedávnou událost nebo rozhodnutí, spíše představuje odraz dlouhodobějšího trendu. Zdroje významného úspěchu České republiky proto musíme hledat nejen v působení a opatřeních této vlády, ale i v opatřeních nastartovaných vládou Petra Nečase a vicepremiérky pro boj s korupcí Karoliny </w:t>
      </w:r>
      <w:proofErr w:type="spellStart"/>
      <w:r w:rsidRPr="00C41182">
        <w:rPr>
          <w:sz w:val="22"/>
          <w:szCs w:val="22"/>
        </w:rPr>
        <w:t>Peake</w:t>
      </w:r>
      <w:proofErr w:type="spellEnd"/>
      <w:r w:rsidRPr="00C41182">
        <w:rPr>
          <w:sz w:val="22"/>
          <w:szCs w:val="22"/>
        </w:rPr>
        <w:t>. Současná koalice pak v pozitivním trendu pokračovala.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Jaká hlavní opatření se podle TI na výsledku roku 2015 podepsala?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1. Razantnější a důslednější přístup OČTR proti korupčním trestným činům, zvláště složitějšího a organizovaného charakteru.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>Zde je důležité zmínit zejména personální a systémové změny ve státním zastupitelství  po roce 2012, jakož i skutečnost, že policie při své činnosti přestala brát ohled na politickou angažovanost a postavení možných pachatelů.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2. Podařilo se rozbít klientelistické systémy, kdy o důležitých veřejných záležitostech rozhodovali kontroverzní osoby z šedé zóny.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 xml:space="preserve">Zákulisní </w:t>
      </w:r>
      <w:proofErr w:type="spellStart"/>
      <w:r w:rsidRPr="00C41182">
        <w:rPr>
          <w:rFonts w:ascii="Times New Roman" w:hAnsi="Times New Roman" w:cs="Times New Roman"/>
          <w:sz w:val="22"/>
          <w:szCs w:val="22"/>
        </w:rPr>
        <w:t>šíbři</w:t>
      </w:r>
      <w:proofErr w:type="spellEnd"/>
      <w:r w:rsidRPr="00C41182">
        <w:rPr>
          <w:rFonts w:ascii="Times New Roman" w:hAnsi="Times New Roman" w:cs="Times New Roman"/>
          <w:sz w:val="22"/>
          <w:szCs w:val="22"/>
        </w:rPr>
        <w:t xml:space="preserve"> typu </w:t>
      </w:r>
      <w:proofErr w:type="spellStart"/>
      <w:r w:rsidRPr="00C41182">
        <w:rPr>
          <w:rFonts w:ascii="Times New Roman" w:hAnsi="Times New Roman" w:cs="Times New Roman"/>
          <w:sz w:val="22"/>
          <w:szCs w:val="22"/>
        </w:rPr>
        <w:t>Rittiga</w:t>
      </w:r>
      <w:proofErr w:type="spellEnd"/>
      <w:r w:rsidRPr="00C41182">
        <w:rPr>
          <w:rFonts w:ascii="Times New Roman" w:hAnsi="Times New Roman" w:cs="Times New Roman"/>
          <w:sz w:val="22"/>
          <w:szCs w:val="22"/>
        </w:rPr>
        <w:t xml:space="preserve">, Janouška nebo Hrdličky již nemohou ovlivňovat obsazování funkcí, například šéfa policejního útvaru zajišťujícího odposlechy. Nepravomocně odsouzený je Rath a jeho skupina, před soudem stojí ředitel nemocnice Na Homolce Dbalý, vyšetřován je ostravský kmotr Dědic, vyšetřují se konkurzní podvody, stavební kartelové dohody nebo solární boom a další kauzy. 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„</w:t>
      </w:r>
      <w:r w:rsidRPr="00C41182">
        <w:rPr>
          <w:i/>
          <w:sz w:val="22"/>
          <w:szCs w:val="22"/>
        </w:rPr>
        <w:t xml:space="preserve">Skutečnost, že závažná organizovaná korupce s politickými přesahy přestala být orgány činnými v trestním řízení ignorována a začala být – přes všechny složitosti - vyšetřována a stíhána, představuje podle našeho názoru nejdůležitější příčinu zlepšení vnímání korupce. Významné místo připadá i platformě Rekonstrukce státu, a to nejen z hlediska zákonů, které se podařilo prosadit, ale také motivováním řady slušných lidí, že stojí za to se korupci postavit, </w:t>
      </w:r>
      <w:r w:rsidRPr="00C41182">
        <w:rPr>
          <w:sz w:val="22"/>
          <w:szCs w:val="22"/>
        </w:rPr>
        <w:t xml:space="preserve">dodává Radim Bureš. 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„</w:t>
      </w:r>
      <w:r w:rsidRPr="00C41182">
        <w:rPr>
          <w:i/>
          <w:sz w:val="22"/>
          <w:szCs w:val="22"/>
        </w:rPr>
        <w:t>Je zřejmé, že po dvou volebních zemětřeseních z let 2010 a 2013 byl netransparentní byznys přinucen uvolnit své sevření politických stran a základních pilířů demokratického státu. Fenomén uchvácení státu nekalým byznysem – prezentovaný v prvé řadě novou klientelistickou nomenklaturou – je snad u konce</w:t>
      </w:r>
      <w:r w:rsidR="00335FFA" w:rsidRPr="00C41182">
        <w:rPr>
          <w:i/>
          <w:sz w:val="22"/>
          <w:szCs w:val="22"/>
        </w:rPr>
        <w:t>,</w:t>
      </w:r>
      <w:r w:rsidRPr="00C41182">
        <w:rPr>
          <w:i/>
          <w:sz w:val="22"/>
          <w:szCs w:val="22"/>
        </w:rPr>
        <w:t xml:space="preserve">“ </w:t>
      </w:r>
      <w:r w:rsidRPr="00C41182">
        <w:rPr>
          <w:sz w:val="22"/>
          <w:szCs w:val="22"/>
        </w:rPr>
        <w:t>říká politolog profesor Michal Klíma, rektor Metropolitní university.</w:t>
      </w:r>
    </w:p>
    <w:p w:rsidR="008125D6" w:rsidRPr="00C41182" w:rsidRDefault="008125D6" w:rsidP="008125D6">
      <w:pPr>
        <w:jc w:val="both"/>
        <w:rPr>
          <w:i/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 xml:space="preserve">3. Tlak na legislativní a systémové změny iniciované platformou Rekonstrukce státu. 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>Proběhla velká diskuse nad charakterem státní správy a její integritou, která vyústila přijetím služebního zákona, zákona o zveřejňování smluv. V Parlamentu pak leží další důležité systémové normy posilující otevřenost a odpovědnost institucí.</w:t>
      </w:r>
    </w:p>
    <w:p w:rsidR="003F70D2" w:rsidRDefault="003F70D2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 xml:space="preserve">4. Zvýšený důraz na kvalitu a integritu veřejných institucí spolu s větším zaměřením na účelné a hospodárné nakládání s veřejnými financemi. 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>NKÚ se ve své kontrolní činnosti posunul od formalistického pohledu k systémovému pohledu na hospodárné, účelné a efektivní vynakládání veřejných prostředků.</w:t>
      </w: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>Tlak Evropské unie přispěl k vytvoření robustního řídícího a kontrolního systému u Evropských fondů, které se tak stávají nositelem pozitivních změn.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i/>
          <w:sz w:val="22"/>
          <w:szCs w:val="22"/>
        </w:rPr>
        <w:t xml:space="preserve">„Vítám, že veřejnost pozitivně hodnotí posun, který se na poli boje s korupcí odehrává. Práci NKÚ v poslední době významně proměnilo ohromné množství dat, které získáváme z informačních systémů veřejné správy. Jejich zpracování nám umožňuje předkládat konkrétní informace, které ve výsledku přirozeně zmenšují prostor pro korupci. Pokud například s pomocí nezpochybnitelných dat prokážeme, kolik má stát kilometr dálnice, přístroj v nemocnici nebo metr čtvereční zdiva, pak korupčníci jen velmi těžko vysvětlí, proč jsou jejich „ceny“ násobně vyšší,“ </w:t>
      </w:r>
      <w:r w:rsidRPr="00C41182">
        <w:rPr>
          <w:sz w:val="22"/>
          <w:szCs w:val="22"/>
        </w:rPr>
        <w:t>dodává Miloslav Kala, prezident NKÚ.</w:t>
      </w:r>
    </w:p>
    <w:p w:rsidR="008125D6" w:rsidRPr="00C41182" w:rsidRDefault="008125D6" w:rsidP="008125D6">
      <w:pPr>
        <w:jc w:val="both"/>
        <w:rPr>
          <w:i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b/>
          <w:sz w:val="22"/>
          <w:szCs w:val="22"/>
        </w:rPr>
        <w:t>5. Skupiny angažovaných občanů na místní úrovni vstoupily do komunální politiky, v řadě obcí se dostaly k moci a začaly rušit zaběhnutá korupční schémata. Zároveň se jimi tlačená opatření stávají v řadě měst a obcí normou.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 xml:space="preserve">Příkladem může sloužit zavádění tzv. </w:t>
      </w:r>
      <w:proofErr w:type="spellStart"/>
      <w:r w:rsidRPr="00C41182">
        <w:rPr>
          <w:rFonts w:ascii="Times New Roman" w:hAnsi="Times New Roman" w:cs="Times New Roman"/>
          <w:sz w:val="22"/>
          <w:szCs w:val="22"/>
        </w:rPr>
        <w:t>rozklikávacích</w:t>
      </w:r>
      <w:proofErr w:type="spellEnd"/>
      <w:r w:rsidRPr="00C41182">
        <w:rPr>
          <w:rFonts w:ascii="Times New Roman" w:hAnsi="Times New Roman" w:cs="Times New Roman"/>
          <w:sz w:val="22"/>
          <w:szCs w:val="22"/>
        </w:rPr>
        <w:t xml:space="preserve"> rozpočtů, </w:t>
      </w:r>
      <w:proofErr w:type="spellStart"/>
      <w:r w:rsidRPr="00C41182">
        <w:rPr>
          <w:rFonts w:ascii="Times New Roman" w:hAnsi="Times New Roman" w:cs="Times New Roman"/>
          <w:sz w:val="22"/>
          <w:szCs w:val="22"/>
        </w:rPr>
        <w:t>streamování</w:t>
      </w:r>
      <w:proofErr w:type="spellEnd"/>
      <w:r w:rsidRPr="00C41182">
        <w:rPr>
          <w:rFonts w:ascii="Times New Roman" w:hAnsi="Times New Roman" w:cs="Times New Roman"/>
          <w:sz w:val="22"/>
          <w:szCs w:val="22"/>
        </w:rPr>
        <w:t xml:space="preserve"> jednání obecních zastupitelstev, či veřejné projednávání investičních záměrů měst a obcí.</w:t>
      </w: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 xml:space="preserve">Proběhla také řada komunálních referend, která zapojují veřejnost do rozhodování. 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6. Pozitivní prvky se objevují v různých segmentech soukromého sektoru.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 xml:space="preserve">V řadě firem je výrazný tlak na zavádění vnitřních protikorupčních mechanismů a posilování systémů compliance. </w:t>
      </w: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>Firmy začínají nastavova</w:t>
      </w:r>
      <w:r w:rsidR="00335FFA" w:rsidRPr="00C41182">
        <w:rPr>
          <w:rFonts w:ascii="Times New Roman" w:hAnsi="Times New Roman" w:cs="Times New Roman"/>
          <w:sz w:val="22"/>
          <w:szCs w:val="22"/>
        </w:rPr>
        <w:t xml:space="preserve">t whistleblowerské mechanismy a </w:t>
      </w:r>
      <w:r w:rsidRPr="00C41182">
        <w:rPr>
          <w:rFonts w:ascii="Times New Roman" w:hAnsi="Times New Roman" w:cs="Times New Roman"/>
          <w:sz w:val="22"/>
          <w:szCs w:val="22"/>
        </w:rPr>
        <w:t>umožňují nahlašovat nekalé praktiky a podvody svým zaměstnancům a zákazníkům (poslední příkladem je spolupráce Hokejového svazu s </w:t>
      </w:r>
      <w:proofErr w:type="gramStart"/>
      <w:r w:rsidRPr="00C41182">
        <w:rPr>
          <w:rFonts w:ascii="Times New Roman" w:hAnsi="Times New Roman" w:cs="Times New Roman"/>
          <w:sz w:val="22"/>
          <w:szCs w:val="22"/>
        </w:rPr>
        <w:t>TI</w:t>
      </w:r>
      <w:proofErr w:type="gramEnd"/>
      <w:r w:rsidRPr="00C41182">
        <w:rPr>
          <w:rFonts w:ascii="Times New Roman" w:hAnsi="Times New Roman" w:cs="Times New Roman"/>
          <w:sz w:val="22"/>
          <w:szCs w:val="22"/>
        </w:rPr>
        <w:t xml:space="preserve"> na whistleblowerské lince). </w:t>
      </w:r>
    </w:p>
    <w:p w:rsidR="008125D6" w:rsidRPr="00C41182" w:rsidRDefault="008125D6" w:rsidP="008125D6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182">
        <w:rPr>
          <w:rFonts w:ascii="Times New Roman" w:hAnsi="Times New Roman" w:cs="Times New Roman"/>
          <w:sz w:val="22"/>
          <w:szCs w:val="22"/>
        </w:rPr>
        <w:t xml:space="preserve">Asociace a komory se aktivně snaží kultivovat podnikatelské prostředí a zahajují iniciativy směrem k odpovědnému podnikání a otevřenosti (příkladem je třeba projekt transparentní spolupráce farmaceutických firem s lékaři iniciovaná Asociací inovativního farmaceutického průmyslu </w:t>
      </w:r>
      <w:r w:rsidRPr="00C41182">
        <w:rPr>
          <w:rFonts w:ascii="Times New Roman" w:hAnsi="Times New Roman" w:cs="Times New Roman"/>
          <w:b/>
          <w:sz w:val="22"/>
          <w:szCs w:val="22"/>
        </w:rPr>
        <w:t>AIFP</w:t>
      </w:r>
      <w:r w:rsidRPr="00C41182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Co je třeba, aby pozitivní trend pokračoval i v dalších letech</w:t>
      </w:r>
    </w:p>
    <w:p w:rsidR="00BF663C" w:rsidRPr="00C41182" w:rsidRDefault="00BF663C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 xml:space="preserve">Zlepšení České republiky v Indexu vnímání korupce je dobrá zpráva, ale vyhráno zdaleka nemáme a je řada dalších témat na protikorupční agendě. </w:t>
      </w:r>
      <w:proofErr w:type="gramStart"/>
      <w:r w:rsidR="00E21979" w:rsidRPr="00C41182">
        <w:rPr>
          <w:sz w:val="22"/>
          <w:szCs w:val="22"/>
        </w:rPr>
        <w:t>TI</w:t>
      </w:r>
      <w:proofErr w:type="gramEnd"/>
      <w:r w:rsidR="00E21979" w:rsidRPr="00C41182">
        <w:rPr>
          <w:sz w:val="22"/>
          <w:szCs w:val="22"/>
        </w:rPr>
        <w:t xml:space="preserve"> </w:t>
      </w:r>
      <w:r w:rsidRPr="00C41182">
        <w:rPr>
          <w:sz w:val="22"/>
          <w:szCs w:val="22"/>
        </w:rPr>
        <w:t xml:space="preserve">dlouhodobě </w:t>
      </w:r>
      <w:proofErr w:type="gramStart"/>
      <w:r w:rsidRPr="00C41182">
        <w:rPr>
          <w:sz w:val="22"/>
          <w:szCs w:val="22"/>
        </w:rPr>
        <w:t>prosazuje</w:t>
      </w:r>
      <w:proofErr w:type="gramEnd"/>
      <w:r w:rsidRPr="00C41182">
        <w:rPr>
          <w:sz w:val="22"/>
          <w:szCs w:val="22"/>
        </w:rPr>
        <w:t xml:space="preserve"> přijetí zákonů, jejichž předlohy leží nyní v Poslanecké  sněmovně </w:t>
      </w:r>
      <w:r w:rsidRPr="00C41182">
        <w:rPr>
          <w:b/>
          <w:sz w:val="22"/>
          <w:szCs w:val="22"/>
        </w:rPr>
        <w:t>- financování politických stran, státní zastupitelství, prokazování původu majetku a ochrana whistleblowerů</w:t>
      </w:r>
      <w:r w:rsidRPr="00C41182">
        <w:rPr>
          <w:sz w:val="22"/>
          <w:szCs w:val="22"/>
        </w:rPr>
        <w:t xml:space="preserve">. Důležitá bude i úspěšná implementace služebního zákona nebo registr smluv. 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Default="008125D6" w:rsidP="008125D6">
      <w:pPr>
        <w:jc w:val="both"/>
        <w:rPr>
          <w:sz w:val="22"/>
          <w:szCs w:val="22"/>
        </w:rPr>
      </w:pPr>
      <w:r w:rsidRPr="00C41182">
        <w:rPr>
          <w:i/>
          <w:sz w:val="22"/>
          <w:szCs w:val="22"/>
        </w:rPr>
        <w:t>„Ve hře jsou i další důležité normy omezující korupční rizika jako regulace hazardu, registr konečných vlastníků firem nebo teritorialita exekutorů</w:t>
      </w:r>
      <w:r w:rsidR="00335FFA" w:rsidRPr="00C41182">
        <w:rPr>
          <w:i/>
          <w:sz w:val="22"/>
          <w:szCs w:val="22"/>
        </w:rPr>
        <w:t>,</w:t>
      </w:r>
      <w:r w:rsidR="00335FFA" w:rsidRPr="00C41182">
        <w:rPr>
          <w:sz w:val="22"/>
          <w:szCs w:val="22"/>
        </w:rPr>
        <w:t>“</w:t>
      </w:r>
      <w:r w:rsidRPr="00C41182">
        <w:rPr>
          <w:sz w:val="22"/>
          <w:szCs w:val="22"/>
        </w:rPr>
        <w:t xml:space="preserve"> dod</w:t>
      </w:r>
      <w:r w:rsidR="003F70D2">
        <w:rPr>
          <w:sz w:val="22"/>
          <w:szCs w:val="22"/>
        </w:rPr>
        <w:t>ává David Ondráčka, ředitel TI.</w:t>
      </w:r>
    </w:p>
    <w:p w:rsidR="003F70D2" w:rsidRDefault="003F70D2" w:rsidP="008125D6">
      <w:pPr>
        <w:jc w:val="both"/>
        <w:rPr>
          <w:sz w:val="22"/>
          <w:szCs w:val="22"/>
        </w:rPr>
      </w:pPr>
    </w:p>
    <w:p w:rsidR="003F70D2" w:rsidRPr="00C41182" w:rsidRDefault="003F70D2" w:rsidP="008125D6">
      <w:pPr>
        <w:jc w:val="both"/>
        <w:rPr>
          <w:sz w:val="22"/>
          <w:szCs w:val="22"/>
        </w:rPr>
      </w:pPr>
    </w:p>
    <w:p w:rsidR="00E21979" w:rsidRPr="00C41182" w:rsidRDefault="00E21979" w:rsidP="008125D6">
      <w:pPr>
        <w:jc w:val="both"/>
        <w:rPr>
          <w:sz w:val="22"/>
          <w:szCs w:val="22"/>
        </w:rPr>
      </w:pPr>
    </w:p>
    <w:p w:rsidR="00231D0B" w:rsidRDefault="00231D0B" w:rsidP="008125D6">
      <w:pPr>
        <w:jc w:val="both"/>
        <w:rPr>
          <w:i/>
          <w:sz w:val="22"/>
          <w:szCs w:val="22"/>
        </w:rPr>
      </w:pPr>
    </w:p>
    <w:p w:rsidR="00231D0B" w:rsidRDefault="00231D0B" w:rsidP="008125D6">
      <w:pPr>
        <w:jc w:val="both"/>
        <w:rPr>
          <w:i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i/>
          <w:sz w:val="22"/>
          <w:szCs w:val="22"/>
        </w:rPr>
        <w:lastRenderedPageBreak/>
        <w:t>„Nicméně vznikají další výzvy a n</w:t>
      </w:r>
      <w:r w:rsidR="00335FFA" w:rsidRPr="00C41182">
        <w:rPr>
          <w:i/>
          <w:sz w:val="22"/>
          <w:szCs w:val="22"/>
        </w:rPr>
        <w:t>ová rizika spojená například</w:t>
      </w:r>
      <w:r w:rsidRPr="00C41182">
        <w:rPr>
          <w:i/>
          <w:sz w:val="22"/>
          <w:szCs w:val="22"/>
        </w:rPr>
        <w:t xml:space="preserve"> se vstupem firemních</w:t>
      </w:r>
      <w:r w:rsidR="00335FFA" w:rsidRPr="00C41182">
        <w:rPr>
          <w:i/>
          <w:sz w:val="22"/>
          <w:szCs w:val="22"/>
        </w:rPr>
        <w:t xml:space="preserve"> stran na politický trh nebo </w:t>
      </w:r>
      <w:r w:rsidRPr="00C41182">
        <w:rPr>
          <w:i/>
          <w:sz w:val="22"/>
          <w:szCs w:val="22"/>
        </w:rPr>
        <w:t>přerůstáním</w:t>
      </w:r>
      <w:r w:rsidR="00335FFA" w:rsidRPr="00C41182">
        <w:rPr>
          <w:i/>
          <w:sz w:val="22"/>
          <w:szCs w:val="22"/>
        </w:rPr>
        <w:t xml:space="preserve"> </w:t>
      </w:r>
      <w:r w:rsidRPr="00C41182">
        <w:rPr>
          <w:i/>
          <w:sz w:val="22"/>
          <w:szCs w:val="22"/>
        </w:rPr>
        <w:t>migrační krize v krizi demokratického systému, na které by primárně parazitovaly původní klientelistické a korupční sítě domácí a zahraniční provenience</w:t>
      </w:r>
      <w:r w:rsidR="00335FFA" w:rsidRPr="00C41182">
        <w:rPr>
          <w:i/>
          <w:sz w:val="22"/>
          <w:szCs w:val="22"/>
        </w:rPr>
        <w:t>,</w:t>
      </w:r>
      <w:r w:rsidRPr="00C41182">
        <w:rPr>
          <w:i/>
          <w:sz w:val="22"/>
          <w:szCs w:val="22"/>
        </w:rPr>
        <w:t xml:space="preserve">“ </w:t>
      </w:r>
      <w:r w:rsidRPr="00C41182">
        <w:rPr>
          <w:sz w:val="22"/>
          <w:szCs w:val="22"/>
        </w:rPr>
        <w:t>doplňuje profesor Michal Klíma.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>O indexu vnímání korupce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Index vnímání korupce (Corruption Perceptions Index, CPI) zveřejňuje mezinárodní nevládní organizace Transparency International (TI) od roku 1995. Index řadí země podle stupně vnímání korupce ve veřejném sektoru s použitím stupnice 0–100, kde 100 označuje zemi téměř bez korupce a 0 znamená vysokou míru korupce. Letošní index hodnotí celkem 168 zemí.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8125D6" w:rsidRPr="00C41182" w:rsidRDefault="008125D6" w:rsidP="008125D6">
      <w:pPr>
        <w:jc w:val="both"/>
        <w:rPr>
          <w:sz w:val="22"/>
          <w:szCs w:val="22"/>
        </w:rPr>
      </w:pPr>
      <w:r w:rsidRPr="00C41182">
        <w:rPr>
          <w:sz w:val="22"/>
          <w:szCs w:val="22"/>
        </w:rPr>
        <w:t>Žebříček je sestavován na základě výsledků expertních průzkumů, v nichž respondenti (ať již občané či experti) mj. hodnotí schopnost vládních institucí potlačovat a postihovat korupci, účinnost protikorupčních opatření, rozsah korupce v různých institucích a oblastech veřejné správy, míru transparentnosti fungování institucí a míru zneužívání veřejných funkcí a veřejných prostředků.</w:t>
      </w:r>
      <w:r w:rsidR="00335FFA" w:rsidRPr="00C41182">
        <w:rPr>
          <w:sz w:val="22"/>
          <w:szCs w:val="22"/>
        </w:rPr>
        <w:t xml:space="preserve"> </w:t>
      </w:r>
      <w:r w:rsidRPr="00C41182">
        <w:rPr>
          <w:sz w:val="22"/>
          <w:szCs w:val="22"/>
        </w:rPr>
        <w:t>Česká republika byla hodnocena na základě 9 dílčích průzkumů renomovaných mezinárodních institucí,</w:t>
      </w:r>
      <w:r w:rsidR="00252606">
        <w:rPr>
          <w:sz w:val="22"/>
          <w:szCs w:val="22"/>
        </w:rPr>
        <w:t xml:space="preserve"> většinou expertního charakteru.</w:t>
      </w:r>
    </w:p>
    <w:p w:rsidR="008125D6" w:rsidRPr="00C41182" w:rsidRDefault="008125D6" w:rsidP="008125D6">
      <w:pPr>
        <w:jc w:val="both"/>
        <w:rPr>
          <w:sz w:val="22"/>
          <w:szCs w:val="22"/>
        </w:rPr>
      </w:pPr>
    </w:p>
    <w:p w:rsidR="00BE0222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b/>
          <w:sz w:val="22"/>
          <w:szCs w:val="22"/>
        </w:rPr>
        <w:t xml:space="preserve">Přílohy: </w:t>
      </w:r>
    </w:p>
    <w:p w:rsidR="00BE0222" w:rsidRPr="00C41182" w:rsidRDefault="00BE0222" w:rsidP="008125D6">
      <w:pPr>
        <w:jc w:val="both"/>
        <w:rPr>
          <w:b/>
          <w:sz w:val="22"/>
          <w:szCs w:val="22"/>
        </w:rPr>
      </w:pPr>
    </w:p>
    <w:p w:rsidR="00BE0222" w:rsidRPr="00E805A5" w:rsidRDefault="009B0182" w:rsidP="008125D6">
      <w:pPr>
        <w:jc w:val="both"/>
        <w:rPr>
          <w:color w:val="0070C0"/>
          <w:sz w:val="22"/>
          <w:szCs w:val="22"/>
        </w:rPr>
      </w:pPr>
      <w:hyperlink r:id="rId11" w:history="1">
        <w:r w:rsidR="00C41182" w:rsidRPr="00E805A5">
          <w:rPr>
            <w:rStyle w:val="Hypertextovodkaz"/>
            <w:color w:val="0070C0"/>
            <w:sz w:val="22"/>
            <w:szCs w:val="22"/>
          </w:rPr>
          <w:t>CPI 2015 - Česká republika</w:t>
        </w:r>
      </w:hyperlink>
    </w:p>
    <w:p w:rsidR="00C41182" w:rsidRPr="00E805A5" w:rsidRDefault="009B0182" w:rsidP="008125D6">
      <w:pPr>
        <w:jc w:val="both"/>
        <w:rPr>
          <w:color w:val="0070C0"/>
          <w:sz w:val="22"/>
          <w:szCs w:val="22"/>
        </w:rPr>
      </w:pPr>
      <w:hyperlink r:id="rId12" w:history="1">
        <w:r w:rsidR="00C41182" w:rsidRPr="00E805A5">
          <w:rPr>
            <w:rStyle w:val="Hypertextovodkaz"/>
            <w:color w:val="0070C0"/>
            <w:sz w:val="22"/>
            <w:szCs w:val="22"/>
          </w:rPr>
          <w:t>CPI 2015 - EU</w:t>
        </w:r>
      </w:hyperlink>
    </w:p>
    <w:p w:rsidR="00C41182" w:rsidRPr="00E805A5" w:rsidRDefault="009B0182" w:rsidP="008125D6">
      <w:pPr>
        <w:jc w:val="both"/>
        <w:rPr>
          <w:color w:val="0070C0"/>
          <w:sz w:val="22"/>
          <w:szCs w:val="22"/>
        </w:rPr>
      </w:pPr>
      <w:hyperlink r:id="rId13" w:history="1">
        <w:r w:rsidR="00C41182" w:rsidRPr="00E805A5">
          <w:rPr>
            <w:rStyle w:val="Hypertextovodkaz"/>
            <w:color w:val="0070C0"/>
            <w:sz w:val="22"/>
            <w:szCs w:val="22"/>
          </w:rPr>
          <w:t>CPI 2015 - Global</w:t>
        </w:r>
      </w:hyperlink>
    </w:p>
    <w:p w:rsidR="00A026F3" w:rsidRPr="00E805A5" w:rsidRDefault="009B0182" w:rsidP="00A026F3">
      <w:pPr>
        <w:jc w:val="both"/>
        <w:rPr>
          <w:color w:val="0070C0"/>
          <w:sz w:val="22"/>
          <w:szCs w:val="22"/>
        </w:rPr>
      </w:pPr>
      <w:hyperlink r:id="rId14" w:history="1">
        <w:r w:rsidR="00A026F3" w:rsidRPr="00E805A5">
          <w:rPr>
            <w:rStyle w:val="Hypertextovodkaz"/>
            <w:color w:val="0070C0"/>
            <w:sz w:val="22"/>
            <w:szCs w:val="22"/>
          </w:rPr>
          <w:t>CPI 2015 - Stručná metodologická poznámka</w:t>
        </w:r>
      </w:hyperlink>
    </w:p>
    <w:p w:rsidR="00A026F3" w:rsidRPr="00E805A5" w:rsidRDefault="009B0182" w:rsidP="00A026F3">
      <w:pPr>
        <w:jc w:val="both"/>
        <w:rPr>
          <w:color w:val="0070C0"/>
          <w:sz w:val="22"/>
          <w:szCs w:val="22"/>
        </w:rPr>
      </w:pPr>
      <w:hyperlink r:id="rId15" w:history="1">
        <w:r w:rsidR="00A026F3" w:rsidRPr="00E805A5">
          <w:rPr>
            <w:rStyle w:val="Hypertextovodkaz"/>
            <w:color w:val="0070C0"/>
            <w:sz w:val="22"/>
            <w:szCs w:val="22"/>
          </w:rPr>
          <w:t>CPI 2015 - Nejčastěji kladené dotazy</w:t>
        </w:r>
      </w:hyperlink>
    </w:p>
    <w:p w:rsidR="00C41182" w:rsidRPr="00E805A5" w:rsidRDefault="009B0182" w:rsidP="008125D6">
      <w:pPr>
        <w:jc w:val="both"/>
        <w:rPr>
          <w:color w:val="0070C0"/>
          <w:sz w:val="22"/>
          <w:szCs w:val="22"/>
        </w:rPr>
      </w:pPr>
      <w:hyperlink r:id="rId16" w:history="1">
        <w:r w:rsidR="00C41182" w:rsidRPr="00E805A5">
          <w:rPr>
            <w:rStyle w:val="Hypertextovodkaz"/>
            <w:color w:val="0070C0"/>
            <w:sz w:val="22"/>
            <w:szCs w:val="22"/>
          </w:rPr>
          <w:t xml:space="preserve">CPI 2015 </w:t>
        </w:r>
        <w:r w:rsidR="00A026F3" w:rsidRPr="00E805A5">
          <w:rPr>
            <w:rStyle w:val="Hypertextovodkaz"/>
            <w:color w:val="0070C0"/>
            <w:sz w:val="22"/>
            <w:szCs w:val="22"/>
          </w:rPr>
          <w:t>-</w:t>
        </w:r>
        <w:r w:rsidR="00C41182" w:rsidRPr="00E805A5">
          <w:rPr>
            <w:rStyle w:val="Hypertextovodkaz"/>
            <w:color w:val="0070C0"/>
            <w:sz w:val="22"/>
            <w:szCs w:val="22"/>
          </w:rPr>
          <w:t xml:space="preserve"> Podrobně</w:t>
        </w:r>
      </w:hyperlink>
      <w:bookmarkStart w:id="0" w:name="_GoBack"/>
      <w:bookmarkEnd w:id="0"/>
    </w:p>
    <w:p w:rsidR="00A026F3" w:rsidRPr="00E805A5" w:rsidRDefault="009B0182" w:rsidP="00A026F3">
      <w:pPr>
        <w:jc w:val="both"/>
        <w:rPr>
          <w:color w:val="0070C0"/>
          <w:sz w:val="22"/>
          <w:szCs w:val="22"/>
        </w:rPr>
      </w:pPr>
      <w:hyperlink r:id="rId17" w:history="1">
        <w:r w:rsidR="00A026F3" w:rsidRPr="00E805A5">
          <w:rPr>
            <w:rStyle w:val="Hypertextovodkaz"/>
            <w:color w:val="0070C0"/>
            <w:sz w:val="22"/>
            <w:szCs w:val="22"/>
          </w:rPr>
          <w:t>CPI 2015 - Prezentace</w:t>
        </w:r>
      </w:hyperlink>
    </w:p>
    <w:p w:rsidR="00C41182" w:rsidRPr="006107FC" w:rsidRDefault="009B0182" w:rsidP="008125D6">
      <w:pPr>
        <w:jc w:val="both"/>
        <w:rPr>
          <w:color w:val="0070C0"/>
          <w:sz w:val="22"/>
          <w:szCs w:val="22"/>
        </w:rPr>
      </w:pPr>
      <w:hyperlink r:id="rId18" w:history="1">
        <w:r w:rsidR="00C41182" w:rsidRPr="006107FC">
          <w:rPr>
            <w:rStyle w:val="Hypertextovodkaz"/>
            <w:color w:val="0070C0"/>
            <w:sz w:val="22"/>
            <w:szCs w:val="22"/>
          </w:rPr>
          <w:t xml:space="preserve">CPI </w:t>
        </w:r>
        <w:r w:rsidR="006107FC" w:rsidRPr="006107FC">
          <w:rPr>
            <w:rStyle w:val="Hypertextovodkaz"/>
            <w:color w:val="0070C0"/>
            <w:sz w:val="22"/>
            <w:szCs w:val="22"/>
          </w:rPr>
          <w:t>2015 - Minuty TI: Radim Bureš - CPI</w:t>
        </w:r>
        <w:r w:rsidR="00C41182" w:rsidRPr="006107FC">
          <w:rPr>
            <w:rStyle w:val="Hypertextovodkaz"/>
            <w:color w:val="0070C0"/>
            <w:sz w:val="22"/>
            <w:szCs w:val="22"/>
          </w:rPr>
          <w:t xml:space="preserve"> 2015</w:t>
        </w:r>
      </w:hyperlink>
    </w:p>
    <w:p w:rsidR="00A328BC" w:rsidRPr="00C41182" w:rsidRDefault="00A328BC" w:rsidP="008125D6">
      <w:pPr>
        <w:jc w:val="both"/>
        <w:rPr>
          <w:b/>
          <w:sz w:val="22"/>
          <w:szCs w:val="22"/>
        </w:rPr>
      </w:pPr>
    </w:p>
    <w:p w:rsidR="00C41182" w:rsidRPr="00C41182" w:rsidRDefault="00C41182" w:rsidP="008125D6">
      <w:pPr>
        <w:jc w:val="both"/>
        <w:rPr>
          <w:b/>
          <w:sz w:val="22"/>
          <w:szCs w:val="22"/>
          <w:u w:val="single"/>
        </w:rPr>
      </w:pP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  <w:r w:rsidRPr="00C41182">
        <w:rPr>
          <w:sz w:val="22"/>
          <w:szCs w:val="22"/>
        </w:rPr>
        <w:t xml:space="preserve">Více informací je k dispozici na </w:t>
      </w:r>
      <w:hyperlink r:id="rId19" w:history="1">
        <w:r w:rsidRPr="00C41182">
          <w:rPr>
            <w:rStyle w:val="Hypertextovodkaz"/>
            <w:rFonts w:eastAsiaTheme="majorEastAsia"/>
            <w:color w:val="0070C0"/>
            <w:sz w:val="22"/>
            <w:szCs w:val="22"/>
          </w:rPr>
          <w:t>www.transparency.cz</w:t>
        </w:r>
      </w:hyperlink>
      <w:r w:rsidR="009C1FEC">
        <w:rPr>
          <w:rStyle w:val="Hypertextovodkaz"/>
          <w:rFonts w:eastAsiaTheme="majorEastAsia"/>
          <w:color w:val="0070C0"/>
          <w:sz w:val="22"/>
          <w:szCs w:val="22"/>
        </w:rPr>
        <w:t>/cpi2015</w:t>
      </w:r>
      <w:r w:rsidRPr="00C41182">
        <w:rPr>
          <w:sz w:val="22"/>
          <w:szCs w:val="22"/>
        </w:rPr>
        <w:t>.</w:t>
      </w:r>
      <w:r w:rsidRPr="00C41182">
        <w:rPr>
          <w:b/>
          <w:sz w:val="22"/>
          <w:szCs w:val="22"/>
        </w:rPr>
        <w:t xml:space="preserve"> </w:t>
      </w:r>
    </w:p>
    <w:p w:rsidR="008125D6" w:rsidRPr="00C41182" w:rsidRDefault="008125D6" w:rsidP="008125D6">
      <w:pPr>
        <w:jc w:val="both"/>
        <w:rPr>
          <w:b/>
          <w:sz w:val="22"/>
          <w:szCs w:val="22"/>
        </w:rPr>
      </w:pPr>
    </w:p>
    <w:p w:rsidR="008125D6" w:rsidRPr="00C41182" w:rsidRDefault="008125D6" w:rsidP="00C9668E">
      <w:pPr>
        <w:rPr>
          <w:b/>
          <w:sz w:val="22"/>
          <w:szCs w:val="22"/>
        </w:rPr>
      </w:pPr>
      <w:r w:rsidRPr="00C41182">
        <w:rPr>
          <w:sz w:val="22"/>
          <w:szCs w:val="22"/>
        </w:rPr>
        <w:t>Další informace v angličtině naleznete na webových stránkách TI</w:t>
      </w:r>
      <w:r w:rsidR="00C9668E">
        <w:rPr>
          <w:sz w:val="22"/>
          <w:szCs w:val="22"/>
        </w:rPr>
        <w:t xml:space="preserve"> </w:t>
      </w:r>
      <w:hyperlink r:id="rId20" w:history="1">
        <w:r w:rsidR="00C9668E" w:rsidRPr="00C9668E">
          <w:rPr>
            <w:rStyle w:val="Hypertextovodkaz"/>
            <w:color w:val="0070C0"/>
          </w:rPr>
          <w:t>www.transparency.org/cpi2015</w:t>
        </w:r>
      </w:hyperlink>
      <w:r w:rsidR="0021729D" w:rsidRPr="0021729D">
        <w:rPr>
          <w:rStyle w:val="Hypertextovodkaz"/>
          <w:color w:val="000000" w:themeColor="text1"/>
          <w:u w:val="none"/>
        </w:rPr>
        <w:t xml:space="preserve">. </w:t>
      </w:r>
      <w:r w:rsidR="00C9668E" w:rsidRPr="0021729D">
        <w:rPr>
          <w:color w:val="000000" w:themeColor="text1"/>
        </w:rPr>
        <w:t xml:space="preserve"> </w:t>
      </w:r>
    </w:p>
    <w:p w:rsidR="008125D6" w:rsidRPr="00C41182" w:rsidRDefault="008125D6" w:rsidP="008125D6">
      <w:pPr>
        <w:rPr>
          <w:b/>
          <w:sz w:val="22"/>
          <w:szCs w:val="22"/>
          <w:u w:val="single"/>
        </w:rPr>
      </w:pPr>
    </w:p>
    <w:p w:rsidR="008125D6" w:rsidRPr="00C41182" w:rsidRDefault="008125D6" w:rsidP="008125D6">
      <w:pPr>
        <w:rPr>
          <w:b/>
          <w:sz w:val="22"/>
          <w:szCs w:val="22"/>
          <w:u w:val="single"/>
        </w:rPr>
      </w:pPr>
      <w:r w:rsidRPr="00C41182">
        <w:rPr>
          <w:b/>
          <w:sz w:val="22"/>
          <w:szCs w:val="22"/>
          <w:u w:val="single"/>
        </w:rPr>
        <w:t>Kontakt pro média:</w:t>
      </w:r>
    </w:p>
    <w:p w:rsidR="008125D6" w:rsidRPr="00C41182" w:rsidRDefault="008125D6" w:rsidP="008125D6">
      <w:pPr>
        <w:rPr>
          <w:b/>
          <w:sz w:val="22"/>
          <w:szCs w:val="22"/>
          <w:u w:val="single"/>
        </w:rPr>
      </w:pPr>
    </w:p>
    <w:p w:rsidR="008125D6" w:rsidRPr="00C41182" w:rsidRDefault="009B0182" w:rsidP="008125D6">
      <w:pPr>
        <w:rPr>
          <w:color w:val="0070C0"/>
          <w:sz w:val="22"/>
          <w:szCs w:val="22"/>
        </w:rPr>
      </w:pPr>
      <w:hyperlink r:id="rId21" w:history="1">
        <w:r w:rsidR="008125D6" w:rsidRPr="00C41182">
          <w:rPr>
            <w:rStyle w:val="Hypertextovodkaz"/>
            <w:color w:val="0070C0"/>
            <w:sz w:val="22"/>
            <w:szCs w:val="22"/>
          </w:rPr>
          <w:t>Radim Bureš</w:t>
        </w:r>
      </w:hyperlink>
      <w:r w:rsidR="008125D6" w:rsidRPr="00C41182">
        <w:rPr>
          <w:color w:val="0070C0"/>
          <w:sz w:val="22"/>
          <w:szCs w:val="22"/>
        </w:rPr>
        <w:t xml:space="preserve"> </w:t>
      </w:r>
    </w:p>
    <w:p w:rsidR="008125D6" w:rsidRPr="00C41182" w:rsidRDefault="008125D6" w:rsidP="008125D6">
      <w:pPr>
        <w:rPr>
          <w:sz w:val="22"/>
          <w:szCs w:val="22"/>
        </w:rPr>
      </w:pPr>
      <w:r w:rsidRPr="00C41182">
        <w:rPr>
          <w:sz w:val="22"/>
          <w:szCs w:val="22"/>
        </w:rPr>
        <w:t>programový ředitel Transparency International ČR</w:t>
      </w:r>
    </w:p>
    <w:p w:rsidR="008125D6" w:rsidRPr="00C41182" w:rsidRDefault="008125D6" w:rsidP="008125D6">
      <w:pPr>
        <w:rPr>
          <w:sz w:val="22"/>
          <w:szCs w:val="22"/>
        </w:rPr>
      </w:pPr>
      <w:r w:rsidRPr="00C41182">
        <w:rPr>
          <w:sz w:val="22"/>
          <w:szCs w:val="22"/>
        </w:rPr>
        <w:t>Mobil: +420 733 666 008</w:t>
      </w:r>
    </w:p>
    <w:p w:rsidR="008125D6" w:rsidRPr="00C41182" w:rsidRDefault="008125D6" w:rsidP="008125D6">
      <w:pPr>
        <w:rPr>
          <w:color w:val="0070C0"/>
          <w:sz w:val="22"/>
          <w:szCs w:val="22"/>
        </w:rPr>
      </w:pPr>
      <w:r w:rsidRPr="00C41182">
        <w:rPr>
          <w:sz w:val="22"/>
          <w:szCs w:val="22"/>
        </w:rPr>
        <w:t xml:space="preserve">E-mail: </w:t>
      </w:r>
      <w:hyperlink r:id="rId22" w:history="1">
        <w:r w:rsidRPr="00C41182">
          <w:rPr>
            <w:rStyle w:val="Hypertextovodkaz"/>
            <w:rFonts w:eastAsiaTheme="majorEastAsia"/>
            <w:color w:val="0070C0"/>
            <w:sz w:val="22"/>
            <w:szCs w:val="22"/>
          </w:rPr>
          <w:t>bures@transparency.cz</w:t>
        </w:r>
      </w:hyperlink>
      <w:r w:rsidRPr="00C41182">
        <w:rPr>
          <w:color w:val="0070C0"/>
          <w:sz w:val="22"/>
          <w:szCs w:val="22"/>
        </w:rPr>
        <w:t xml:space="preserve"> </w:t>
      </w:r>
    </w:p>
    <w:p w:rsidR="008125D6" w:rsidRPr="00C41182" w:rsidRDefault="008125D6" w:rsidP="008125D6">
      <w:pPr>
        <w:rPr>
          <w:color w:val="0070C0"/>
          <w:sz w:val="22"/>
          <w:szCs w:val="22"/>
        </w:rPr>
      </w:pPr>
    </w:p>
    <w:p w:rsidR="008125D6" w:rsidRPr="00C41182" w:rsidRDefault="009B0182" w:rsidP="008125D6">
      <w:pPr>
        <w:rPr>
          <w:color w:val="0070C0"/>
          <w:sz w:val="22"/>
          <w:szCs w:val="22"/>
        </w:rPr>
      </w:pPr>
      <w:hyperlink r:id="rId23" w:history="1">
        <w:r w:rsidR="008125D6" w:rsidRPr="00C41182">
          <w:rPr>
            <w:rStyle w:val="Hypertextovodkaz"/>
            <w:color w:val="0070C0"/>
            <w:sz w:val="22"/>
            <w:szCs w:val="22"/>
          </w:rPr>
          <w:t>David Ondráčka</w:t>
        </w:r>
      </w:hyperlink>
    </w:p>
    <w:p w:rsidR="008125D6" w:rsidRPr="00C41182" w:rsidRDefault="008125D6" w:rsidP="008125D6">
      <w:pPr>
        <w:rPr>
          <w:color w:val="000000" w:themeColor="text1"/>
          <w:sz w:val="22"/>
          <w:szCs w:val="22"/>
        </w:rPr>
      </w:pPr>
      <w:r w:rsidRPr="00C41182">
        <w:rPr>
          <w:color w:val="000000" w:themeColor="text1"/>
          <w:sz w:val="22"/>
          <w:szCs w:val="22"/>
        </w:rPr>
        <w:t>ředitel Transparency International ČR</w:t>
      </w:r>
    </w:p>
    <w:p w:rsidR="008125D6" w:rsidRPr="00C41182" w:rsidRDefault="008125D6" w:rsidP="008125D6">
      <w:pPr>
        <w:rPr>
          <w:color w:val="000000" w:themeColor="text1"/>
          <w:sz w:val="22"/>
          <w:szCs w:val="22"/>
        </w:rPr>
      </w:pPr>
      <w:r w:rsidRPr="00C41182">
        <w:rPr>
          <w:color w:val="000000" w:themeColor="text1"/>
          <w:sz w:val="22"/>
          <w:szCs w:val="22"/>
        </w:rPr>
        <w:t xml:space="preserve">Mobil: +420 605 814 786  </w:t>
      </w:r>
    </w:p>
    <w:p w:rsidR="008125D6" w:rsidRPr="00C41182" w:rsidRDefault="008125D6" w:rsidP="008125D6">
      <w:pPr>
        <w:rPr>
          <w:color w:val="000000" w:themeColor="text1"/>
          <w:sz w:val="22"/>
          <w:szCs w:val="22"/>
        </w:rPr>
      </w:pPr>
      <w:r w:rsidRPr="00C41182">
        <w:rPr>
          <w:color w:val="000000" w:themeColor="text1"/>
          <w:sz w:val="22"/>
          <w:szCs w:val="22"/>
        </w:rPr>
        <w:t xml:space="preserve">E-mail: </w:t>
      </w:r>
      <w:hyperlink r:id="rId24" w:history="1">
        <w:r w:rsidRPr="00C41182">
          <w:rPr>
            <w:rStyle w:val="Hypertextovodkaz"/>
            <w:color w:val="0070C0"/>
            <w:sz w:val="22"/>
            <w:szCs w:val="22"/>
          </w:rPr>
          <w:t>ondracka@transparency.cz</w:t>
        </w:r>
      </w:hyperlink>
      <w:r w:rsidRPr="00C41182">
        <w:rPr>
          <w:color w:val="0070C0"/>
          <w:sz w:val="22"/>
          <w:szCs w:val="22"/>
        </w:rPr>
        <w:t xml:space="preserve"> </w:t>
      </w:r>
    </w:p>
    <w:p w:rsidR="007457A9" w:rsidRPr="00C41182" w:rsidRDefault="007457A9" w:rsidP="008125D6">
      <w:pPr>
        <w:jc w:val="both"/>
        <w:rPr>
          <w:sz w:val="22"/>
          <w:szCs w:val="22"/>
        </w:rPr>
      </w:pPr>
    </w:p>
    <w:sectPr w:rsidR="007457A9" w:rsidRPr="00C4118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82" w:rsidRDefault="009B0182" w:rsidP="00A53006">
      <w:r>
        <w:separator/>
      </w:r>
    </w:p>
  </w:endnote>
  <w:endnote w:type="continuationSeparator" w:id="0">
    <w:p w:rsidR="009B0182" w:rsidRDefault="009B0182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1729D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1729D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82" w:rsidRDefault="009B0182" w:rsidP="00A53006">
      <w:r>
        <w:separator/>
      </w:r>
    </w:p>
  </w:footnote>
  <w:footnote w:type="continuationSeparator" w:id="0">
    <w:p w:rsidR="009B0182" w:rsidRDefault="009B0182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730FC9" wp14:editId="32315FA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71A"/>
    <w:multiLevelType w:val="hybridMultilevel"/>
    <w:tmpl w:val="4BD0FF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30EC"/>
    <w:multiLevelType w:val="hybridMultilevel"/>
    <w:tmpl w:val="B4465DB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C771069"/>
    <w:multiLevelType w:val="hybridMultilevel"/>
    <w:tmpl w:val="688C3B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911EA"/>
    <w:rsid w:val="001B71D2"/>
    <w:rsid w:val="0021729D"/>
    <w:rsid w:val="00231D0B"/>
    <w:rsid w:val="00252606"/>
    <w:rsid w:val="002E4134"/>
    <w:rsid w:val="00335FFA"/>
    <w:rsid w:val="00370CE6"/>
    <w:rsid w:val="003F70D2"/>
    <w:rsid w:val="00445F84"/>
    <w:rsid w:val="00585C70"/>
    <w:rsid w:val="00590AF9"/>
    <w:rsid w:val="005E4F6B"/>
    <w:rsid w:val="006107FC"/>
    <w:rsid w:val="006538FF"/>
    <w:rsid w:val="0066337A"/>
    <w:rsid w:val="007457A9"/>
    <w:rsid w:val="00756D0F"/>
    <w:rsid w:val="00786744"/>
    <w:rsid w:val="007C6326"/>
    <w:rsid w:val="008125D6"/>
    <w:rsid w:val="00817E07"/>
    <w:rsid w:val="00960D2E"/>
    <w:rsid w:val="00966C16"/>
    <w:rsid w:val="009B0182"/>
    <w:rsid w:val="009C1FEC"/>
    <w:rsid w:val="00A026F3"/>
    <w:rsid w:val="00A128BA"/>
    <w:rsid w:val="00A328BC"/>
    <w:rsid w:val="00A53006"/>
    <w:rsid w:val="00BE0222"/>
    <w:rsid w:val="00BF663C"/>
    <w:rsid w:val="00C23101"/>
    <w:rsid w:val="00C41182"/>
    <w:rsid w:val="00C8793C"/>
    <w:rsid w:val="00C9668E"/>
    <w:rsid w:val="00CA0251"/>
    <w:rsid w:val="00CA72FB"/>
    <w:rsid w:val="00CE17EF"/>
    <w:rsid w:val="00E21979"/>
    <w:rsid w:val="00E3338E"/>
    <w:rsid w:val="00E805A5"/>
    <w:rsid w:val="00F5080A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8125D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125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8125D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125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cz/cpi2015" TargetMode="External"/><Relationship Id="rId13" Type="http://schemas.openxmlformats.org/officeDocument/2006/relationships/hyperlink" Target="http://www.transparency.cz/wp-content/uploads/CPI-2015-Global.pdf" TargetMode="External"/><Relationship Id="rId18" Type="http://schemas.openxmlformats.org/officeDocument/2006/relationships/hyperlink" Target="https://www.youtube.com/watch?v=pHnL3CVBt0k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transparency.cz/radim-bur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ansparency.cz/wp-content/uploads/CPI-2015-EU.pdf" TargetMode="External"/><Relationship Id="rId17" Type="http://schemas.openxmlformats.org/officeDocument/2006/relationships/hyperlink" Target="http://www.transparency.cz/wp-content/uploads/CPI-2015-Prezentace.ppt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ransparency.cz/wp-content/uploads/CPI-2015-Podrobn&#283;.xlsx" TargetMode="External"/><Relationship Id="rId20" Type="http://schemas.openxmlformats.org/officeDocument/2006/relationships/hyperlink" Target="http://www.transparency.org/cpi2015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cz/wp-content/uploads/CPI-2015-&#268;esk&#225;-republika.png" TargetMode="External"/><Relationship Id="rId24" Type="http://schemas.openxmlformats.org/officeDocument/2006/relationships/hyperlink" Target="mailto:ondracka@transparency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ransparency.cz/wp-content/uploads/CPI-2015-Nej&#269;ast&#283;ji-kladen&#233;-dotazy.pdf" TargetMode="External"/><Relationship Id="rId23" Type="http://schemas.openxmlformats.org/officeDocument/2006/relationships/hyperlink" Target="http://www.transparency.cz/david-ondracka-2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transparency.cz/cpi2015" TargetMode="External"/><Relationship Id="rId19" Type="http://schemas.openxmlformats.org/officeDocument/2006/relationships/hyperlink" Target="http://www.transparency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ransparency.cz/wp-content/uploads/CPI-2015-Stru&#269;n&#225;-metodologick&#225;-pozn&#225;mka.pdf" TargetMode="External"/><Relationship Id="rId22" Type="http://schemas.openxmlformats.org/officeDocument/2006/relationships/hyperlink" Target="mailto:bures@transparency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Apollo</cp:lastModifiedBy>
  <cp:revision>30</cp:revision>
  <cp:lastPrinted>2015-01-21T11:47:00Z</cp:lastPrinted>
  <dcterms:created xsi:type="dcterms:W3CDTF">2015-01-21T14:46:00Z</dcterms:created>
  <dcterms:modified xsi:type="dcterms:W3CDTF">2016-01-29T09:19:00Z</dcterms:modified>
</cp:coreProperties>
</file>