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50" w:rsidRPr="00EF057A" w:rsidRDefault="00176750" w:rsidP="002D3BC1">
      <w:pPr>
        <w:pStyle w:val="Nadpis1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EF057A">
        <w:rPr>
          <w:rFonts w:asciiTheme="minorHAnsi" w:hAnsiTheme="minorHAnsi"/>
          <w:b/>
          <w:color w:val="000000" w:themeColor="text1"/>
          <w:sz w:val="24"/>
          <w:szCs w:val="24"/>
        </w:rPr>
        <w:t>TISKOVÁ ZPRÁVA</w:t>
      </w:r>
      <w:r w:rsidR="002D3BC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:rsidR="00176750" w:rsidRPr="00B25690" w:rsidRDefault="00176750" w:rsidP="00E42641">
      <w:pPr>
        <w:pStyle w:val="Nadpis1"/>
        <w:jc w:val="both"/>
        <w:rPr>
          <w:rFonts w:asciiTheme="minorHAnsi" w:hAnsiTheme="minorHAnsi"/>
          <w:b/>
          <w:color w:val="0070C0"/>
          <w:sz w:val="28"/>
          <w:szCs w:val="28"/>
        </w:rPr>
      </w:pPr>
      <w:proofErr w:type="gramStart"/>
      <w:r w:rsidRPr="00B25690">
        <w:rPr>
          <w:rFonts w:asciiTheme="minorHAnsi" w:hAnsiTheme="minorHAnsi"/>
          <w:b/>
          <w:color w:val="0070C0"/>
          <w:sz w:val="28"/>
          <w:szCs w:val="28"/>
        </w:rPr>
        <w:t>TI vyzývá</w:t>
      </w:r>
      <w:proofErr w:type="gramEnd"/>
      <w:r w:rsidRPr="00B25690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030551">
        <w:rPr>
          <w:rFonts w:asciiTheme="minorHAnsi" w:hAnsiTheme="minorHAnsi"/>
          <w:b/>
          <w:color w:val="0070C0"/>
          <w:sz w:val="28"/>
          <w:szCs w:val="28"/>
        </w:rPr>
        <w:t xml:space="preserve">sněmovnu </w:t>
      </w:r>
      <w:r w:rsidRPr="00B25690">
        <w:rPr>
          <w:rFonts w:asciiTheme="minorHAnsi" w:hAnsiTheme="minorHAnsi"/>
          <w:b/>
          <w:color w:val="0070C0"/>
          <w:sz w:val="28"/>
          <w:szCs w:val="28"/>
        </w:rPr>
        <w:t>k</w:t>
      </w:r>
      <w:r w:rsidR="007472D9" w:rsidRPr="00B25690">
        <w:rPr>
          <w:rFonts w:asciiTheme="minorHAnsi" w:hAnsiTheme="minorHAnsi"/>
          <w:b/>
          <w:color w:val="0070C0"/>
          <w:sz w:val="28"/>
          <w:szCs w:val="28"/>
        </w:rPr>
        <w:t> přijetí reformy financování stran</w:t>
      </w:r>
      <w:r w:rsidR="00030551">
        <w:rPr>
          <w:rFonts w:asciiTheme="minorHAnsi" w:hAnsiTheme="minorHAnsi"/>
          <w:b/>
          <w:color w:val="0070C0"/>
          <w:sz w:val="28"/>
          <w:szCs w:val="28"/>
        </w:rPr>
        <w:t xml:space="preserve">. Politické strany by měly </w:t>
      </w:r>
      <w:r w:rsidR="001451AD">
        <w:rPr>
          <w:rFonts w:asciiTheme="minorHAnsi" w:hAnsiTheme="minorHAnsi"/>
          <w:b/>
          <w:color w:val="0070C0"/>
          <w:sz w:val="28"/>
          <w:szCs w:val="28"/>
        </w:rPr>
        <w:t xml:space="preserve">preventivně </w:t>
      </w:r>
      <w:r w:rsidR="00030551">
        <w:rPr>
          <w:rFonts w:asciiTheme="minorHAnsi" w:hAnsiTheme="minorHAnsi"/>
          <w:b/>
          <w:color w:val="0070C0"/>
          <w:sz w:val="28"/>
          <w:szCs w:val="28"/>
        </w:rPr>
        <w:t>pře</w:t>
      </w:r>
      <w:r w:rsidR="00E7484F">
        <w:rPr>
          <w:rFonts w:asciiTheme="minorHAnsi" w:hAnsiTheme="minorHAnsi"/>
          <w:b/>
          <w:color w:val="0070C0"/>
          <w:sz w:val="28"/>
          <w:szCs w:val="28"/>
        </w:rPr>
        <w:t>d</w:t>
      </w:r>
      <w:bookmarkStart w:id="0" w:name="_GoBack"/>
      <w:bookmarkEnd w:id="0"/>
      <w:r w:rsidR="00030551">
        <w:rPr>
          <w:rFonts w:asciiTheme="minorHAnsi" w:hAnsiTheme="minorHAnsi"/>
          <w:b/>
          <w:color w:val="0070C0"/>
          <w:sz w:val="28"/>
          <w:szCs w:val="28"/>
        </w:rPr>
        <w:t xml:space="preserve">cházet rizikům u problematických firemních dárců. </w:t>
      </w:r>
      <w:proofErr w:type="gramStart"/>
      <w:r w:rsidR="00030551">
        <w:rPr>
          <w:rFonts w:asciiTheme="minorHAnsi" w:hAnsiTheme="minorHAnsi"/>
          <w:b/>
          <w:color w:val="0070C0"/>
          <w:sz w:val="28"/>
          <w:szCs w:val="28"/>
        </w:rPr>
        <w:t>TI bude</w:t>
      </w:r>
      <w:proofErr w:type="gramEnd"/>
      <w:r w:rsidR="00030551">
        <w:rPr>
          <w:rFonts w:asciiTheme="minorHAnsi" w:hAnsiTheme="minorHAnsi"/>
          <w:b/>
          <w:color w:val="0070C0"/>
          <w:sz w:val="28"/>
          <w:szCs w:val="28"/>
        </w:rPr>
        <w:t xml:space="preserve"> i</w:t>
      </w:r>
      <w:r w:rsidR="007472D9" w:rsidRPr="00B25690">
        <w:rPr>
          <w:rFonts w:asciiTheme="minorHAnsi" w:hAnsiTheme="minorHAnsi"/>
          <w:b/>
          <w:color w:val="0070C0"/>
          <w:sz w:val="28"/>
          <w:szCs w:val="28"/>
        </w:rPr>
        <w:t xml:space="preserve"> v letošním roce monitorovat krajské a senátní volby.</w:t>
      </w:r>
    </w:p>
    <w:p w:rsidR="008550AB" w:rsidRDefault="008550AB" w:rsidP="00E42641">
      <w:pPr>
        <w:jc w:val="both"/>
        <w:rPr>
          <w:lang w:eastAsia="en-US"/>
        </w:rPr>
      </w:pPr>
    </w:p>
    <w:p w:rsidR="008550AB" w:rsidRDefault="007B56BF" w:rsidP="00E42641">
      <w:pPr>
        <w:jc w:val="both"/>
        <w:rPr>
          <w:lang w:eastAsia="en-US"/>
        </w:rPr>
      </w:pPr>
      <w:r>
        <w:rPr>
          <w:noProof/>
        </w:rPr>
        <w:drawing>
          <wp:inline distT="0" distB="0" distL="0" distR="0">
            <wp:extent cx="5762625" cy="4029075"/>
            <wp:effectExtent l="0" t="0" r="9525" b="9525"/>
            <wp:docPr id="5" name="Obrázek 5" descr="Z:\PR\Grafika\Infografika\Politické finance 2016\Financování politických stran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\Grafika\Infografika\Politické finance 2016\Financování politických stran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73" w:rsidRPr="00740073" w:rsidRDefault="00740073" w:rsidP="00E42641">
      <w:pPr>
        <w:jc w:val="both"/>
        <w:rPr>
          <w:color w:val="808080" w:themeColor="background1" w:themeShade="80"/>
          <w:vertAlign w:val="superscript"/>
          <w:lang w:eastAsia="en-US"/>
        </w:rPr>
      </w:pPr>
      <w:r w:rsidRPr="00740073">
        <w:rPr>
          <w:color w:val="808080" w:themeColor="background1" w:themeShade="80"/>
          <w:vertAlign w:val="superscript"/>
          <w:lang w:eastAsia="en-US"/>
        </w:rPr>
        <w:t>Financování politických stran 2016 | zdroj: TI</w:t>
      </w:r>
    </w:p>
    <w:p w:rsidR="004005B9" w:rsidRPr="00B25690" w:rsidRDefault="00176750" w:rsidP="00E42641">
      <w:pPr>
        <w:jc w:val="both"/>
        <w:rPr>
          <w:rFonts w:asciiTheme="minorHAnsi" w:hAnsiTheme="minorHAnsi"/>
          <w:b/>
        </w:rPr>
      </w:pPr>
      <w:r w:rsidRPr="00B25690">
        <w:rPr>
          <w:rFonts w:asciiTheme="minorHAnsi" w:hAnsiTheme="minorHAnsi"/>
          <w:b/>
        </w:rPr>
        <w:t>Praha, 4. února 2016 - Transparency International</w:t>
      </w:r>
      <w:r w:rsidR="00AA0B09" w:rsidRPr="00B25690">
        <w:rPr>
          <w:rFonts w:asciiTheme="minorHAnsi" w:hAnsiTheme="minorHAnsi"/>
          <w:b/>
        </w:rPr>
        <w:t xml:space="preserve"> - Česká republika, o. p. s. (TI)</w:t>
      </w:r>
      <w:r w:rsidRPr="00B25690">
        <w:rPr>
          <w:rFonts w:asciiTheme="minorHAnsi" w:hAnsiTheme="minorHAnsi"/>
          <w:b/>
        </w:rPr>
        <w:t xml:space="preserve"> dlouhodobě monitoruje financování politických stran a </w:t>
      </w:r>
      <w:r w:rsidR="008870EF">
        <w:rPr>
          <w:rFonts w:asciiTheme="minorHAnsi" w:hAnsiTheme="minorHAnsi"/>
          <w:b/>
        </w:rPr>
        <w:t xml:space="preserve">kampaní. </w:t>
      </w:r>
      <w:r w:rsidRPr="00B25690">
        <w:rPr>
          <w:rFonts w:asciiTheme="minorHAnsi" w:hAnsiTheme="minorHAnsi"/>
          <w:b/>
        </w:rPr>
        <w:t>Sledovali j</w:t>
      </w:r>
      <w:r w:rsidR="00976879" w:rsidRPr="00B25690">
        <w:rPr>
          <w:rFonts w:asciiTheme="minorHAnsi" w:hAnsiTheme="minorHAnsi"/>
          <w:b/>
        </w:rPr>
        <w:t>sme všechny kampaně od konce roku 2012</w:t>
      </w:r>
      <w:r w:rsidRPr="00B25690">
        <w:rPr>
          <w:rFonts w:asciiTheme="minorHAnsi" w:hAnsiTheme="minorHAnsi"/>
          <w:b/>
        </w:rPr>
        <w:t xml:space="preserve">, počínaje prezidentskými, a budeme se také věnovat nadcházejícím krajským </w:t>
      </w:r>
      <w:r w:rsidR="007472D9" w:rsidRPr="00B25690">
        <w:rPr>
          <w:rFonts w:asciiTheme="minorHAnsi" w:hAnsiTheme="minorHAnsi"/>
          <w:b/>
        </w:rPr>
        <w:t xml:space="preserve">a senátním </w:t>
      </w:r>
      <w:r w:rsidRPr="00B25690">
        <w:rPr>
          <w:rFonts w:asciiTheme="minorHAnsi" w:hAnsiTheme="minorHAnsi"/>
          <w:b/>
        </w:rPr>
        <w:t xml:space="preserve">volbám. </w:t>
      </w:r>
      <w:proofErr w:type="gramStart"/>
      <w:r w:rsidR="007472D9" w:rsidRPr="00B25690">
        <w:rPr>
          <w:rFonts w:asciiTheme="minorHAnsi" w:hAnsiTheme="minorHAnsi"/>
          <w:b/>
        </w:rPr>
        <w:t>TI</w:t>
      </w:r>
      <w:proofErr w:type="gramEnd"/>
      <w:r w:rsidR="007472D9" w:rsidRPr="00B25690">
        <w:rPr>
          <w:rFonts w:asciiTheme="minorHAnsi" w:hAnsiTheme="minorHAnsi"/>
          <w:b/>
        </w:rPr>
        <w:t xml:space="preserve"> </w:t>
      </w:r>
      <w:r w:rsidR="00030551">
        <w:rPr>
          <w:rFonts w:asciiTheme="minorHAnsi" w:hAnsiTheme="minorHAnsi"/>
          <w:b/>
        </w:rPr>
        <w:t xml:space="preserve">ve své analýze </w:t>
      </w:r>
      <w:proofErr w:type="gramStart"/>
      <w:r w:rsidR="00030551">
        <w:rPr>
          <w:rFonts w:asciiTheme="minorHAnsi" w:hAnsiTheme="minorHAnsi"/>
          <w:b/>
        </w:rPr>
        <w:t>ukazuje</w:t>
      </w:r>
      <w:proofErr w:type="gramEnd"/>
      <w:r w:rsidR="00030551">
        <w:rPr>
          <w:rFonts w:asciiTheme="minorHAnsi" w:hAnsiTheme="minorHAnsi"/>
          <w:b/>
        </w:rPr>
        <w:t xml:space="preserve"> </w:t>
      </w:r>
      <w:r w:rsidR="007472D9" w:rsidRPr="00B25690">
        <w:rPr>
          <w:rFonts w:asciiTheme="minorHAnsi" w:hAnsiTheme="minorHAnsi"/>
          <w:b/>
        </w:rPr>
        <w:t xml:space="preserve">na konkrétních příkladech </w:t>
      </w:r>
      <w:r w:rsidR="00030551">
        <w:rPr>
          <w:rFonts w:asciiTheme="minorHAnsi" w:hAnsiTheme="minorHAnsi"/>
          <w:b/>
        </w:rPr>
        <w:t>r</w:t>
      </w:r>
      <w:r w:rsidR="007472D9" w:rsidRPr="00B25690">
        <w:rPr>
          <w:rFonts w:asciiTheme="minorHAnsi" w:hAnsiTheme="minorHAnsi"/>
          <w:b/>
        </w:rPr>
        <w:t>izikové faktory firemních dárců stran</w:t>
      </w:r>
      <w:r w:rsidR="00CF2926">
        <w:rPr>
          <w:rFonts w:asciiTheme="minorHAnsi" w:hAnsiTheme="minorHAnsi"/>
          <w:b/>
        </w:rPr>
        <w:t>, zaměřila se na praxi transparentních účtů</w:t>
      </w:r>
      <w:r w:rsidR="007472D9" w:rsidRPr="00B25690">
        <w:rPr>
          <w:rFonts w:asciiTheme="minorHAnsi" w:hAnsiTheme="minorHAnsi"/>
          <w:b/>
        </w:rPr>
        <w:t xml:space="preserve"> a speciálně </w:t>
      </w:r>
      <w:r w:rsidR="00CF2926">
        <w:rPr>
          <w:rFonts w:asciiTheme="minorHAnsi" w:hAnsiTheme="minorHAnsi"/>
          <w:b/>
        </w:rPr>
        <w:t xml:space="preserve">také </w:t>
      </w:r>
      <w:r w:rsidR="007472D9" w:rsidRPr="00B25690">
        <w:rPr>
          <w:rFonts w:asciiTheme="minorHAnsi" w:hAnsiTheme="minorHAnsi"/>
          <w:b/>
        </w:rPr>
        <w:t xml:space="preserve">na </w:t>
      </w:r>
      <w:r w:rsidR="00CF2926">
        <w:rPr>
          <w:rFonts w:asciiTheme="minorHAnsi" w:hAnsiTheme="minorHAnsi"/>
          <w:b/>
        </w:rPr>
        <w:t xml:space="preserve">praxi </w:t>
      </w:r>
      <w:r w:rsidR="007472D9" w:rsidRPr="00B25690">
        <w:rPr>
          <w:rFonts w:asciiTheme="minorHAnsi" w:hAnsiTheme="minorHAnsi"/>
          <w:b/>
        </w:rPr>
        <w:t>nov</w:t>
      </w:r>
      <w:r w:rsidR="00CF2926">
        <w:rPr>
          <w:rFonts w:asciiTheme="minorHAnsi" w:hAnsiTheme="minorHAnsi"/>
          <w:b/>
        </w:rPr>
        <w:t xml:space="preserve">ého </w:t>
      </w:r>
      <w:r w:rsidR="007472D9" w:rsidRPr="00B25690">
        <w:rPr>
          <w:rFonts w:asciiTheme="minorHAnsi" w:hAnsiTheme="minorHAnsi"/>
          <w:b/>
        </w:rPr>
        <w:t>významn</w:t>
      </w:r>
      <w:r w:rsidR="00CF2926">
        <w:rPr>
          <w:rFonts w:asciiTheme="minorHAnsi" w:hAnsiTheme="minorHAnsi"/>
          <w:b/>
        </w:rPr>
        <w:t>ého</w:t>
      </w:r>
      <w:r w:rsidR="007472D9" w:rsidRPr="00B25690">
        <w:rPr>
          <w:rFonts w:asciiTheme="minorHAnsi" w:hAnsiTheme="minorHAnsi"/>
          <w:b/>
        </w:rPr>
        <w:t xml:space="preserve"> subjekt</w:t>
      </w:r>
      <w:r w:rsidR="00CF2926">
        <w:rPr>
          <w:rFonts w:asciiTheme="minorHAnsi" w:hAnsiTheme="minorHAnsi"/>
          <w:b/>
        </w:rPr>
        <w:t>u</w:t>
      </w:r>
      <w:r w:rsidR="007472D9" w:rsidRPr="00B25690">
        <w:rPr>
          <w:rFonts w:asciiTheme="minorHAnsi" w:hAnsiTheme="minorHAnsi"/>
          <w:b/>
        </w:rPr>
        <w:t xml:space="preserve"> – hnutí ANO.</w:t>
      </w:r>
    </w:p>
    <w:p w:rsidR="00CF2926" w:rsidRPr="00B25690" w:rsidRDefault="00CF2926" w:rsidP="00E42641">
      <w:pPr>
        <w:pStyle w:val="Nadpis2"/>
        <w:jc w:val="both"/>
        <w:rPr>
          <w:rFonts w:asciiTheme="minorHAnsi" w:hAnsiTheme="minorHAnsi"/>
          <w:color w:val="0070C0"/>
          <w:sz w:val="24"/>
          <w:szCs w:val="24"/>
        </w:rPr>
      </w:pPr>
      <w:r w:rsidRPr="00B25690">
        <w:rPr>
          <w:rFonts w:asciiTheme="minorHAnsi" w:hAnsiTheme="minorHAnsi"/>
          <w:color w:val="0070C0"/>
          <w:sz w:val="24"/>
          <w:szCs w:val="24"/>
        </w:rPr>
        <w:t>Zákon a jeho vývoj</w:t>
      </w:r>
    </w:p>
    <w:p w:rsidR="00CF2926" w:rsidRPr="00B25690" w:rsidRDefault="00176750" w:rsidP="00E42641">
      <w:pPr>
        <w:jc w:val="both"/>
        <w:rPr>
          <w:rFonts w:asciiTheme="minorHAnsi" w:hAnsiTheme="minorHAnsi"/>
        </w:rPr>
      </w:pPr>
      <w:r w:rsidRPr="00B25690">
        <w:rPr>
          <w:rFonts w:asciiTheme="minorHAnsi" w:hAnsiTheme="minorHAnsi"/>
        </w:rPr>
        <w:t xml:space="preserve">V současné době je v Poslanecké sněmovně „zaparkován“ návrh zákona o financování politických stran. V tomto zákoně je </w:t>
      </w:r>
      <w:r w:rsidR="00CF2926">
        <w:rPr>
          <w:rFonts w:asciiTheme="minorHAnsi" w:hAnsiTheme="minorHAnsi"/>
        </w:rPr>
        <w:t xml:space="preserve">klíčovou změnou </w:t>
      </w:r>
      <w:r w:rsidRPr="00B25690">
        <w:rPr>
          <w:rFonts w:asciiTheme="minorHAnsi" w:hAnsiTheme="minorHAnsi"/>
        </w:rPr>
        <w:t xml:space="preserve">vznik nezávislého kontrolního úřadu. </w:t>
      </w:r>
      <w:r w:rsidRPr="008870EF">
        <w:rPr>
          <w:rFonts w:asciiTheme="minorHAnsi" w:hAnsiTheme="minorHAnsi"/>
          <w:b/>
        </w:rPr>
        <w:t>Bez institucionálního přezkumu (Úřadu na dohled nad hospodařením stran) není možné prohloubit a zefektivnit monitoring, vynucovat sankcemi dodržování pravidel a zvýšit veřejný dohled nad hospodařením stran.</w:t>
      </w:r>
      <w:r w:rsidR="00CF2926" w:rsidRPr="00CF2926">
        <w:rPr>
          <w:rFonts w:asciiTheme="minorHAnsi" w:hAnsiTheme="minorHAnsi"/>
        </w:rPr>
        <w:t xml:space="preserve"> </w:t>
      </w:r>
      <w:r w:rsidR="00CF2926" w:rsidRPr="00B25690">
        <w:rPr>
          <w:rFonts w:asciiTheme="minorHAnsi" w:hAnsiTheme="minorHAnsi"/>
        </w:rPr>
        <w:t xml:space="preserve">Existuje reálné riziko, že </w:t>
      </w:r>
      <w:r w:rsidR="00CF2926">
        <w:rPr>
          <w:rFonts w:asciiTheme="minorHAnsi" w:hAnsiTheme="minorHAnsi"/>
        </w:rPr>
        <w:t xml:space="preserve">bez politické shody </w:t>
      </w:r>
      <w:r w:rsidR="00CF2926" w:rsidRPr="00B25690">
        <w:rPr>
          <w:rFonts w:asciiTheme="minorHAnsi" w:hAnsiTheme="minorHAnsi"/>
        </w:rPr>
        <w:t xml:space="preserve">nebude touto sněmovnou </w:t>
      </w:r>
      <w:r w:rsidR="00CF2926">
        <w:rPr>
          <w:rFonts w:asciiTheme="minorHAnsi" w:hAnsiTheme="minorHAnsi"/>
        </w:rPr>
        <w:t>vůbec projednán</w:t>
      </w:r>
      <w:r w:rsidR="00CF2926" w:rsidRPr="00B25690">
        <w:rPr>
          <w:rFonts w:asciiTheme="minorHAnsi" w:hAnsiTheme="minorHAnsi"/>
        </w:rPr>
        <w:t xml:space="preserve">, anebo i další sněmovní volby v roce 2017 proběhnou podle stávajících (nedostatečných) pravidel. </w:t>
      </w:r>
      <w:r w:rsidR="00CF2926" w:rsidRPr="00CF2926">
        <w:rPr>
          <w:rFonts w:asciiTheme="minorHAnsi" w:hAnsiTheme="minorHAnsi"/>
          <w:b/>
        </w:rPr>
        <w:t>Proto TI vyzývá vládní koalici: zařaďte napevno projednání zákona na program sněmovny.</w:t>
      </w:r>
    </w:p>
    <w:p w:rsidR="00176750" w:rsidRPr="00B25690" w:rsidRDefault="00176750" w:rsidP="00E42641">
      <w:pPr>
        <w:jc w:val="both"/>
        <w:rPr>
          <w:rFonts w:asciiTheme="minorHAnsi" w:hAnsiTheme="minorHAnsi"/>
        </w:rPr>
      </w:pPr>
    </w:p>
    <w:p w:rsidR="00176750" w:rsidRPr="00B25690" w:rsidRDefault="00AA0B09" w:rsidP="00E42641">
      <w:pPr>
        <w:jc w:val="both"/>
        <w:rPr>
          <w:rFonts w:asciiTheme="minorHAnsi" w:hAnsiTheme="minorHAnsi"/>
        </w:rPr>
      </w:pPr>
      <w:r w:rsidRPr="00B25690">
        <w:rPr>
          <w:rFonts w:asciiTheme="minorHAnsi" w:hAnsiTheme="minorHAnsi"/>
        </w:rPr>
        <w:t>TI</w:t>
      </w:r>
      <w:r w:rsidR="004005B9" w:rsidRPr="00B25690">
        <w:rPr>
          <w:rFonts w:asciiTheme="minorHAnsi" w:hAnsiTheme="minorHAnsi"/>
        </w:rPr>
        <w:t xml:space="preserve"> </w:t>
      </w:r>
      <w:r w:rsidR="008870EF">
        <w:rPr>
          <w:rFonts w:asciiTheme="minorHAnsi" w:hAnsiTheme="minorHAnsi"/>
        </w:rPr>
        <w:t xml:space="preserve">svým </w:t>
      </w:r>
      <w:r w:rsidRPr="00B25690">
        <w:rPr>
          <w:rFonts w:asciiTheme="minorHAnsi" w:hAnsiTheme="minorHAnsi"/>
        </w:rPr>
        <w:t>monitoring</w:t>
      </w:r>
      <w:r w:rsidR="008870EF">
        <w:rPr>
          <w:rFonts w:asciiTheme="minorHAnsi" w:hAnsiTheme="minorHAnsi"/>
        </w:rPr>
        <w:t>em</w:t>
      </w:r>
      <w:r w:rsidR="00176750" w:rsidRPr="00B25690">
        <w:rPr>
          <w:rFonts w:asciiTheme="minorHAnsi" w:hAnsiTheme="minorHAnsi"/>
        </w:rPr>
        <w:t xml:space="preserve"> </w:t>
      </w:r>
      <w:r w:rsidR="001451AD">
        <w:rPr>
          <w:rFonts w:asciiTheme="minorHAnsi" w:hAnsiTheme="minorHAnsi"/>
        </w:rPr>
        <w:t>spolu</w:t>
      </w:r>
      <w:r w:rsidR="008870EF">
        <w:rPr>
          <w:rFonts w:asciiTheme="minorHAnsi" w:hAnsiTheme="minorHAnsi"/>
        </w:rPr>
        <w:t xml:space="preserve">vytváří </w:t>
      </w:r>
      <w:r w:rsidR="00176750" w:rsidRPr="00B25690">
        <w:rPr>
          <w:rFonts w:asciiTheme="minorHAnsi" w:hAnsiTheme="minorHAnsi"/>
        </w:rPr>
        <w:t>veřejný tlak</w:t>
      </w:r>
      <w:r w:rsidR="004005B9" w:rsidRPr="00B25690">
        <w:rPr>
          <w:rFonts w:asciiTheme="minorHAnsi" w:hAnsiTheme="minorHAnsi"/>
        </w:rPr>
        <w:t>, který je v mnoha případech účinný</w:t>
      </w:r>
      <w:r w:rsidR="00176750" w:rsidRPr="00B25690">
        <w:rPr>
          <w:rFonts w:asciiTheme="minorHAnsi" w:hAnsiTheme="minorHAnsi"/>
        </w:rPr>
        <w:t xml:space="preserve"> a</w:t>
      </w:r>
      <w:r w:rsidR="004005B9" w:rsidRPr="00B25690">
        <w:rPr>
          <w:rFonts w:asciiTheme="minorHAnsi" w:hAnsiTheme="minorHAnsi"/>
        </w:rPr>
        <w:t xml:space="preserve"> strany začínají </w:t>
      </w:r>
      <w:r w:rsidR="00176750" w:rsidRPr="00B25690">
        <w:rPr>
          <w:rFonts w:asciiTheme="minorHAnsi" w:hAnsiTheme="minorHAnsi"/>
        </w:rPr>
        <w:t>více zveřejňovat</w:t>
      </w:r>
      <w:r w:rsidR="004005B9" w:rsidRPr="00B25690">
        <w:rPr>
          <w:rFonts w:asciiTheme="minorHAnsi" w:hAnsiTheme="minorHAnsi"/>
        </w:rPr>
        <w:t xml:space="preserve"> informace o </w:t>
      </w:r>
      <w:r w:rsidR="008870EF">
        <w:rPr>
          <w:rFonts w:asciiTheme="minorHAnsi" w:hAnsiTheme="minorHAnsi"/>
        </w:rPr>
        <w:t xml:space="preserve">svých příjmech i výdajích a </w:t>
      </w:r>
      <w:r w:rsidR="004005B9" w:rsidRPr="00B25690">
        <w:rPr>
          <w:rFonts w:asciiTheme="minorHAnsi" w:hAnsiTheme="minorHAnsi"/>
        </w:rPr>
        <w:t xml:space="preserve">vzniká </w:t>
      </w:r>
      <w:r w:rsidR="008870EF">
        <w:rPr>
          <w:rFonts w:asciiTheme="minorHAnsi" w:hAnsiTheme="minorHAnsi"/>
        </w:rPr>
        <w:t>určitý</w:t>
      </w:r>
      <w:r w:rsidR="00176750" w:rsidRPr="00B25690">
        <w:rPr>
          <w:rFonts w:asciiTheme="minorHAnsi" w:hAnsiTheme="minorHAnsi"/>
        </w:rPr>
        <w:t xml:space="preserve"> </w:t>
      </w:r>
      <w:r w:rsidR="001451AD">
        <w:rPr>
          <w:rFonts w:asciiTheme="minorHAnsi" w:hAnsiTheme="minorHAnsi"/>
        </w:rPr>
        <w:t xml:space="preserve">vyšší </w:t>
      </w:r>
      <w:r w:rsidR="00176750" w:rsidRPr="00B25690">
        <w:rPr>
          <w:rFonts w:asciiTheme="minorHAnsi" w:hAnsiTheme="minorHAnsi"/>
        </w:rPr>
        <w:t>standard</w:t>
      </w:r>
      <w:r w:rsidR="008870EF">
        <w:rPr>
          <w:rFonts w:asciiTheme="minorHAnsi" w:hAnsiTheme="minorHAnsi"/>
        </w:rPr>
        <w:t xml:space="preserve">. </w:t>
      </w:r>
      <w:r w:rsidR="007B56BF" w:rsidRPr="00414518">
        <w:rPr>
          <w:rFonts w:asciiTheme="minorHAnsi" w:hAnsiTheme="minorHAnsi"/>
          <w:i/>
        </w:rPr>
        <w:t>„</w:t>
      </w:r>
      <w:r w:rsidR="007B56BF" w:rsidRPr="00414518">
        <w:rPr>
          <w:rFonts w:asciiTheme="minorHAnsi" w:hAnsiTheme="minorHAnsi"/>
          <w:b/>
          <w:i/>
        </w:rPr>
        <w:t>Stranické finance je tedy potřeba důsledně a průběžně sledovat a analyzovat, jinak hrozí, že se každoročně zveřejní výroční zprávy, formální nedostatky, ale po několika dnech mediálně zapadnou a jede se bez větší nápravy po stejných kolejích dál,“</w:t>
      </w:r>
      <w:r w:rsidR="007B56BF" w:rsidRPr="007B56BF">
        <w:rPr>
          <w:rFonts w:asciiTheme="minorHAnsi" w:hAnsiTheme="minorHAnsi"/>
        </w:rPr>
        <w:t xml:space="preserve"> říká Petr Vymětal z VŠE, spolupracovník TI</w:t>
      </w:r>
      <w:r w:rsidR="00176750" w:rsidRPr="00CF2926">
        <w:rPr>
          <w:rFonts w:asciiTheme="minorHAnsi" w:hAnsiTheme="minorHAnsi"/>
          <w:b/>
        </w:rPr>
        <w:t>.</w:t>
      </w:r>
    </w:p>
    <w:p w:rsidR="00176750" w:rsidRDefault="00176750" w:rsidP="00E42641">
      <w:pPr>
        <w:pStyle w:val="Nadpis2"/>
        <w:jc w:val="both"/>
        <w:rPr>
          <w:rFonts w:asciiTheme="minorHAnsi" w:hAnsiTheme="minorHAnsi"/>
          <w:color w:val="0070C0"/>
          <w:sz w:val="24"/>
          <w:szCs w:val="24"/>
        </w:rPr>
      </w:pPr>
      <w:r w:rsidRPr="00B25690">
        <w:rPr>
          <w:rFonts w:asciiTheme="minorHAnsi" w:hAnsiTheme="minorHAnsi"/>
          <w:color w:val="0070C0"/>
          <w:sz w:val="24"/>
          <w:szCs w:val="24"/>
        </w:rPr>
        <w:t>Transparentní účt</w:t>
      </w:r>
      <w:r w:rsidR="004A578C">
        <w:rPr>
          <w:rFonts w:asciiTheme="minorHAnsi" w:hAnsiTheme="minorHAnsi"/>
          <w:color w:val="0070C0"/>
          <w:sz w:val="24"/>
          <w:szCs w:val="24"/>
        </w:rPr>
        <w:t>y</w:t>
      </w:r>
    </w:p>
    <w:p w:rsidR="00221151" w:rsidRDefault="00CF2926" w:rsidP="00E4264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</w:t>
      </w:r>
      <w:r w:rsidR="00A64C56" w:rsidRPr="00B25690">
        <w:rPr>
          <w:rFonts w:asciiTheme="minorHAnsi" w:hAnsiTheme="minorHAnsi"/>
        </w:rPr>
        <w:t>asto zmiňovaným důkazem čistoty stranického financování</w:t>
      </w:r>
      <w:r>
        <w:rPr>
          <w:rFonts w:asciiTheme="minorHAnsi" w:hAnsiTheme="minorHAnsi"/>
        </w:rPr>
        <w:t xml:space="preserve"> je zavedení </w:t>
      </w:r>
      <w:r w:rsidRPr="00B25690">
        <w:rPr>
          <w:rFonts w:asciiTheme="minorHAnsi" w:hAnsiTheme="minorHAnsi"/>
        </w:rPr>
        <w:t>TÚ</w:t>
      </w:r>
      <w:r>
        <w:rPr>
          <w:rFonts w:asciiTheme="minorHAnsi" w:hAnsiTheme="minorHAnsi"/>
        </w:rPr>
        <w:t xml:space="preserve">, </w:t>
      </w:r>
      <w:r w:rsidR="00A64C56" w:rsidRPr="00B25690">
        <w:rPr>
          <w:rFonts w:asciiTheme="minorHAnsi" w:hAnsiTheme="minorHAnsi"/>
        </w:rPr>
        <w:t>kterým lze sledovat aktuální tok financí. Má to ale několik omezení. Pro efektivní fungování takového transparentního účtu je třeba mít jasně deklarovaný účel, časové období a jeho koncipování by mělo zprůhledňovat obě části rozpočtu, příjmy</w:t>
      </w:r>
      <w:r w:rsidR="00221151">
        <w:rPr>
          <w:rFonts w:asciiTheme="minorHAnsi" w:hAnsiTheme="minorHAnsi"/>
        </w:rPr>
        <w:t xml:space="preserve"> </w:t>
      </w:r>
      <w:r w:rsidR="00A64C56" w:rsidRPr="00B25690">
        <w:rPr>
          <w:rFonts w:asciiTheme="minorHAnsi" w:hAnsiTheme="minorHAnsi"/>
        </w:rPr>
        <w:t xml:space="preserve">výdaje. V současné době má již většina stran zavedenou určitou formu transparentního účtu, což představuje výrazný posun proti blízké minulosti. </w:t>
      </w:r>
      <w:r w:rsidR="00A64C56" w:rsidRPr="00E42641">
        <w:rPr>
          <w:rFonts w:asciiTheme="minorHAnsi" w:hAnsiTheme="minorHAnsi"/>
          <w:b/>
        </w:rPr>
        <w:t>„</w:t>
      </w:r>
      <w:r w:rsidR="00A64C56" w:rsidRPr="00E42641">
        <w:rPr>
          <w:rFonts w:asciiTheme="minorHAnsi" w:hAnsiTheme="minorHAnsi"/>
          <w:b/>
          <w:i/>
        </w:rPr>
        <w:t>Bohužel tvrzení, že transparentní účet</w:t>
      </w:r>
      <w:r w:rsidR="00221151" w:rsidRPr="00E42641">
        <w:rPr>
          <w:rFonts w:asciiTheme="minorHAnsi" w:hAnsiTheme="minorHAnsi"/>
          <w:b/>
          <w:i/>
        </w:rPr>
        <w:t xml:space="preserve"> a jejich finance jsou tím jasné</w:t>
      </w:r>
      <w:r w:rsidR="00A64C56" w:rsidRPr="00E42641">
        <w:rPr>
          <w:rFonts w:asciiTheme="minorHAnsi" w:hAnsiTheme="minorHAnsi"/>
          <w:b/>
          <w:i/>
        </w:rPr>
        <w:t xml:space="preserve">, představuje určité zkreslení a falešné konejšení. Současné transparentní účty politických subjektů jsou v drtivé většinou doplněny o další, klasické </w:t>
      </w:r>
      <w:r w:rsidR="00221151" w:rsidRPr="00E42641">
        <w:rPr>
          <w:rFonts w:asciiTheme="minorHAnsi" w:hAnsiTheme="minorHAnsi"/>
          <w:b/>
          <w:i/>
        </w:rPr>
        <w:t>„</w:t>
      </w:r>
      <w:r w:rsidR="00A64C56" w:rsidRPr="00E42641">
        <w:rPr>
          <w:rFonts w:asciiTheme="minorHAnsi" w:hAnsiTheme="minorHAnsi"/>
          <w:b/>
          <w:i/>
        </w:rPr>
        <w:t>netransparentní</w:t>
      </w:r>
      <w:r w:rsidR="00221151" w:rsidRPr="00E42641">
        <w:rPr>
          <w:rFonts w:asciiTheme="minorHAnsi" w:hAnsiTheme="minorHAnsi"/>
          <w:b/>
          <w:i/>
        </w:rPr>
        <w:t>“</w:t>
      </w:r>
      <w:r w:rsidR="00A64C56" w:rsidRPr="00E42641">
        <w:rPr>
          <w:rFonts w:asciiTheme="minorHAnsi" w:hAnsiTheme="minorHAnsi"/>
          <w:b/>
          <w:i/>
        </w:rPr>
        <w:t xml:space="preserve"> účty, u kterých odborná ani laická veřejnost nemá přehled o celé struktuře příjmů a výdajů,“ </w:t>
      </w:r>
      <w:r w:rsidR="007B56BF">
        <w:rPr>
          <w:rFonts w:asciiTheme="minorHAnsi" w:hAnsiTheme="minorHAnsi"/>
        </w:rPr>
        <w:t>dodává</w:t>
      </w:r>
      <w:r w:rsidR="00A64C56" w:rsidRPr="007B56BF">
        <w:rPr>
          <w:rFonts w:asciiTheme="minorHAnsi" w:hAnsiTheme="minorHAnsi"/>
        </w:rPr>
        <w:t xml:space="preserve"> analytik </w:t>
      </w:r>
      <w:proofErr w:type="gramStart"/>
      <w:r w:rsidR="00A64C56" w:rsidRPr="007B56BF">
        <w:rPr>
          <w:rFonts w:asciiTheme="minorHAnsi" w:hAnsiTheme="minorHAnsi"/>
        </w:rPr>
        <w:t>TI</w:t>
      </w:r>
      <w:proofErr w:type="gramEnd"/>
      <w:r w:rsidR="00A64C56" w:rsidRPr="007B56BF">
        <w:rPr>
          <w:rFonts w:asciiTheme="minorHAnsi" w:hAnsiTheme="minorHAnsi"/>
        </w:rPr>
        <w:t xml:space="preserve"> Milan Eibl</w:t>
      </w:r>
      <w:r w:rsidR="00A64C56" w:rsidRPr="00E42641">
        <w:rPr>
          <w:rFonts w:asciiTheme="minorHAnsi" w:hAnsiTheme="minorHAnsi"/>
          <w:b/>
        </w:rPr>
        <w:t xml:space="preserve">. </w:t>
      </w:r>
    </w:p>
    <w:p w:rsidR="00221151" w:rsidRDefault="00221151" w:rsidP="00E42641">
      <w:pPr>
        <w:jc w:val="both"/>
        <w:rPr>
          <w:rFonts w:asciiTheme="minorHAnsi" w:hAnsiTheme="minorHAnsi"/>
        </w:rPr>
      </w:pPr>
    </w:p>
    <w:p w:rsidR="0050064F" w:rsidRDefault="00221151" w:rsidP="00E4264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A64C56" w:rsidRPr="00B25690">
        <w:rPr>
          <w:rFonts w:asciiTheme="minorHAnsi" w:hAnsiTheme="minorHAnsi"/>
        </w:rPr>
        <w:t xml:space="preserve">přes </w:t>
      </w:r>
      <w:r>
        <w:rPr>
          <w:rFonts w:asciiTheme="minorHAnsi" w:hAnsiTheme="minorHAnsi"/>
        </w:rPr>
        <w:t xml:space="preserve">existenci </w:t>
      </w:r>
      <w:r w:rsidR="00A64C56" w:rsidRPr="00B25690">
        <w:rPr>
          <w:rFonts w:asciiTheme="minorHAnsi" w:hAnsiTheme="minorHAnsi"/>
        </w:rPr>
        <w:t>transparentního účtu</w:t>
      </w:r>
      <w:r>
        <w:rPr>
          <w:rFonts w:asciiTheme="minorHAnsi" w:hAnsiTheme="minorHAnsi"/>
        </w:rPr>
        <w:t xml:space="preserve"> stále mohou proudit nepřiznané příjmy či nejasné výdaje. </w:t>
      </w:r>
      <w:r w:rsidR="00A64C56" w:rsidRPr="00B25690">
        <w:rPr>
          <w:rFonts w:asciiTheme="minorHAnsi" w:hAnsiTheme="minorHAnsi"/>
        </w:rPr>
        <w:t>Navíc u takovýchto transparentních účtů se dobrým úmyslem, ale špatným provedením může jevit i založení jednoho univerzálního transparentního účtu, který nerozlišuje volební/nevolební období a je složité analyzovat jednotlivé transakce a určit jejich důvod.</w:t>
      </w:r>
    </w:p>
    <w:p w:rsidR="00B25690" w:rsidRDefault="00B25690" w:rsidP="00E42641">
      <w:pPr>
        <w:jc w:val="both"/>
        <w:rPr>
          <w:rFonts w:asciiTheme="minorHAnsi" w:hAnsiTheme="minorHAnsi"/>
        </w:rPr>
      </w:pPr>
    </w:p>
    <w:p w:rsidR="00176750" w:rsidRPr="00C51B1A" w:rsidRDefault="00176750" w:rsidP="00E42641">
      <w:pPr>
        <w:jc w:val="both"/>
        <w:rPr>
          <w:rFonts w:asciiTheme="minorHAnsi" w:hAnsiTheme="minorHAnsi"/>
          <w:b/>
        </w:rPr>
      </w:pPr>
      <w:r w:rsidRPr="00C51B1A">
        <w:rPr>
          <w:rFonts w:asciiTheme="minorHAnsi" w:hAnsiTheme="minorHAnsi"/>
          <w:b/>
        </w:rPr>
        <w:t xml:space="preserve">Pro přehlednost uvádíme níže výčet aktuální praxe u </w:t>
      </w:r>
      <w:r w:rsidR="00CF2926" w:rsidRPr="00C51B1A">
        <w:rPr>
          <w:rFonts w:asciiTheme="minorHAnsi" w:hAnsiTheme="minorHAnsi"/>
          <w:b/>
        </w:rPr>
        <w:t>relevantních politických stran</w:t>
      </w:r>
      <w:r w:rsidRPr="00C51B1A">
        <w:rPr>
          <w:rFonts w:asciiTheme="minorHAnsi" w:hAnsiTheme="minorHAnsi"/>
          <w:b/>
        </w:rPr>
        <w:t>:</w:t>
      </w:r>
    </w:p>
    <w:p w:rsidR="00176750" w:rsidRPr="00C51B1A" w:rsidRDefault="00976879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>ANO -</w:t>
      </w:r>
      <w:r w:rsidR="00176750" w:rsidRPr="00C51B1A">
        <w:rPr>
          <w:rFonts w:asciiTheme="minorHAnsi" w:hAnsiTheme="minorHAnsi"/>
        </w:rPr>
        <w:t xml:space="preserve"> příjmový zveřejňují, výdajový nedostupný</w:t>
      </w:r>
    </w:p>
    <w:p w:rsidR="00176750" w:rsidRPr="00C51B1A" w:rsidRDefault="00976879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>ČSSD -</w:t>
      </w:r>
      <w:r w:rsidR="00176750" w:rsidRPr="00C51B1A">
        <w:rPr>
          <w:rFonts w:asciiTheme="minorHAnsi" w:hAnsiTheme="minorHAnsi"/>
        </w:rPr>
        <w:t xml:space="preserve"> transparentní účty má jen na volby</w:t>
      </w:r>
    </w:p>
    <w:p w:rsidR="00176750" w:rsidRPr="00C51B1A" w:rsidRDefault="00976879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>KDU-ČSL -</w:t>
      </w:r>
      <w:r w:rsidR="00176750" w:rsidRPr="00C51B1A">
        <w:rPr>
          <w:rFonts w:asciiTheme="minorHAnsi" w:hAnsiTheme="minorHAnsi"/>
        </w:rPr>
        <w:t xml:space="preserve"> transparentní výdajový, ale skoro žádné výdaje neuvedeny</w:t>
      </w:r>
    </w:p>
    <w:p w:rsidR="00176750" w:rsidRPr="00C51B1A" w:rsidRDefault="00976879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>ODS -</w:t>
      </w:r>
      <w:r w:rsidR="00176750" w:rsidRPr="00C51B1A">
        <w:rPr>
          <w:rFonts w:asciiTheme="minorHAnsi" w:hAnsiTheme="minorHAnsi"/>
        </w:rPr>
        <w:t xml:space="preserve"> příjmový je transparentní, výdajový nedostupný</w:t>
      </w:r>
    </w:p>
    <w:p w:rsidR="00176750" w:rsidRPr="00C51B1A" w:rsidRDefault="00976879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>TOP09 -</w:t>
      </w:r>
      <w:r w:rsidR="00176750" w:rsidRPr="00C51B1A">
        <w:rPr>
          <w:rFonts w:asciiTheme="minorHAnsi" w:hAnsiTheme="minorHAnsi"/>
        </w:rPr>
        <w:t xml:space="preserve"> transparentní provozní účet, „dotovaný“ standardním účtem</w:t>
      </w:r>
    </w:p>
    <w:p w:rsidR="001B146E" w:rsidRPr="00C51B1A" w:rsidRDefault="002E2C9A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 xml:space="preserve">KSČM - </w:t>
      </w:r>
      <w:r w:rsidR="002A6A4C" w:rsidRPr="00C51B1A">
        <w:rPr>
          <w:rFonts w:asciiTheme="minorHAnsi" w:hAnsiTheme="minorHAnsi"/>
        </w:rPr>
        <w:t>má dva transparentní účty, nicméně jsou zveřejněny jen formou měsíčních/</w:t>
      </w:r>
      <w:proofErr w:type="spellStart"/>
      <w:r w:rsidR="002A6A4C" w:rsidRPr="00C51B1A">
        <w:rPr>
          <w:rFonts w:asciiTheme="minorHAnsi" w:hAnsiTheme="minorHAnsi"/>
        </w:rPr>
        <w:t>čtvrletních</w:t>
      </w:r>
      <w:proofErr w:type="spellEnd"/>
      <w:r w:rsidR="002A6A4C" w:rsidRPr="00C51B1A">
        <w:rPr>
          <w:rFonts w:asciiTheme="minorHAnsi" w:hAnsiTheme="minorHAnsi"/>
        </w:rPr>
        <w:t xml:space="preserve"> </w:t>
      </w:r>
      <w:proofErr w:type="spellStart"/>
      <w:r w:rsidR="002A6A4C" w:rsidRPr="00C51B1A">
        <w:rPr>
          <w:rFonts w:asciiTheme="minorHAnsi" w:hAnsiTheme="minorHAnsi"/>
        </w:rPr>
        <w:t>pdf</w:t>
      </w:r>
      <w:proofErr w:type="spellEnd"/>
      <w:r w:rsidR="002A6A4C" w:rsidRPr="00C51B1A">
        <w:rPr>
          <w:rFonts w:asciiTheme="minorHAnsi" w:hAnsiTheme="minorHAnsi"/>
        </w:rPr>
        <w:t xml:space="preserve"> výpisů</w:t>
      </w:r>
    </w:p>
    <w:p w:rsidR="00176750" w:rsidRPr="00C51B1A" w:rsidRDefault="00176750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 xml:space="preserve">ÚSVIT </w:t>
      </w:r>
      <w:r w:rsidR="00976879" w:rsidRPr="00C51B1A">
        <w:rPr>
          <w:rFonts w:asciiTheme="minorHAnsi" w:hAnsiTheme="minorHAnsi"/>
        </w:rPr>
        <w:t>-</w:t>
      </w:r>
      <w:r w:rsidRPr="00C51B1A">
        <w:rPr>
          <w:rFonts w:asciiTheme="minorHAnsi" w:hAnsiTheme="minorHAnsi"/>
        </w:rPr>
        <w:t xml:space="preserve"> transparentní účet pouze do sněmovních voleb 2013</w:t>
      </w:r>
    </w:p>
    <w:p w:rsidR="00176750" w:rsidRPr="00C51B1A" w:rsidRDefault="00176750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 xml:space="preserve">STRANA ZELENÝCH </w:t>
      </w:r>
      <w:r w:rsidR="00976879" w:rsidRPr="00C51B1A">
        <w:rPr>
          <w:rFonts w:asciiTheme="minorHAnsi" w:hAnsiTheme="minorHAnsi"/>
        </w:rPr>
        <w:t>-</w:t>
      </w:r>
      <w:r w:rsidRPr="00C51B1A">
        <w:rPr>
          <w:rFonts w:asciiTheme="minorHAnsi" w:hAnsiTheme="minorHAnsi"/>
        </w:rPr>
        <w:t xml:space="preserve"> velké množství transparentních účtů (obtížně přehledné)</w:t>
      </w:r>
    </w:p>
    <w:p w:rsidR="00176750" w:rsidRPr="00C51B1A" w:rsidRDefault="00176750" w:rsidP="00C51B1A">
      <w:pPr>
        <w:numPr>
          <w:ilvl w:val="0"/>
          <w:numId w:val="18"/>
        </w:numPr>
        <w:spacing w:line="259" w:lineRule="auto"/>
        <w:jc w:val="both"/>
        <w:rPr>
          <w:rFonts w:asciiTheme="minorHAnsi" w:hAnsiTheme="minorHAnsi"/>
        </w:rPr>
      </w:pPr>
      <w:r w:rsidRPr="00C51B1A">
        <w:rPr>
          <w:rFonts w:asciiTheme="minorHAnsi" w:hAnsiTheme="minorHAnsi"/>
        </w:rPr>
        <w:t>S</w:t>
      </w:r>
      <w:r w:rsidR="00976879" w:rsidRPr="00C51B1A">
        <w:rPr>
          <w:rFonts w:asciiTheme="minorHAnsi" w:hAnsiTheme="minorHAnsi"/>
        </w:rPr>
        <w:t>VOBODNÍ -</w:t>
      </w:r>
      <w:r w:rsidRPr="00C51B1A">
        <w:rPr>
          <w:rFonts w:asciiTheme="minorHAnsi" w:hAnsiTheme="minorHAnsi"/>
        </w:rPr>
        <w:t xml:space="preserve"> jeden transparentní účet pro všechno</w:t>
      </w:r>
    </w:p>
    <w:p w:rsidR="00176750" w:rsidRPr="00B25690" w:rsidRDefault="00E72D4A" w:rsidP="00E42641">
      <w:pPr>
        <w:pStyle w:val="Nadpis2"/>
        <w:jc w:val="both"/>
        <w:rPr>
          <w:rFonts w:asciiTheme="minorHAnsi" w:hAnsiTheme="minorHAnsi"/>
          <w:color w:val="0070C0"/>
          <w:sz w:val="24"/>
          <w:szCs w:val="24"/>
        </w:rPr>
      </w:pPr>
      <w:r w:rsidRPr="00B25690">
        <w:rPr>
          <w:rFonts w:asciiTheme="minorHAnsi" w:hAnsiTheme="minorHAnsi"/>
          <w:color w:val="0070C0"/>
          <w:sz w:val="24"/>
          <w:szCs w:val="24"/>
        </w:rPr>
        <w:t>Dary stranám a</w:t>
      </w:r>
      <w:r w:rsidR="00176750" w:rsidRPr="00B25690">
        <w:rPr>
          <w:rFonts w:asciiTheme="minorHAnsi" w:hAnsiTheme="minorHAnsi"/>
          <w:color w:val="0070C0"/>
          <w:sz w:val="24"/>
          <w:szCs w:val="24"/>
        </w:rPr>
        <w:t xml:space="preserve"> rizikové faktory</w:t>
      </w:r>
    </w:p>
    <w:p w:rsidR="00176750" w:rsidRPr="00B25690" w:rsidRDefault="00CF2926" w:rsidP="00E42641">
      <w:pPr>
        <w:jc w:val="both"/>
        <w:rPr>
          <w:rFonts w:asciiTheme="minorHAnsi" w:hAnsiTheme="minorHAnsi"/>
        </w:rPr>
      </w:pPr>
      <w:r w:rsidRPr="00B25690">
        <w:rPr>
          <w:rFonts w:asciiTheme="minorHAnsi" w:hAnsiTheme="minorHAnsi"/>
        </w:rPr>
        <w:t xml:space="preserve">V rámci současného monitoringu </w:t>
      </w:r>
      <w:r>
        <w:rPr>
          <w:rFonts w:asciiTheme="minorHAnsi" w:hAnsiTheme="minorHAnsi"/>
        </w:rPr>
        <w:t>TI s</w:t>
      </w:r>
      <w:r w:rsidRPr="00B25690">
        <w:rPr>
          <w:rFonts w:asciiTheme="minorHAnsi" w:hAnsiTheme="minorHAnsi"/>
        </w:rPr>
        <w:t>led</w:t>
      </w:r>
      <w:r>
        <w:rPr>
          <w:rFonts w:asciiTheme="minorHAnsi" w:hAnsiTheme="minorHAnsi"/>
        </w:rPr>
        <w:t xml:space="preserve">ovala zejména </w:t>
      </w:r>
      <w:r w:rsidRPr="00B25690">
        <w:rPr>
          <w:rFonts w:asciiTheme="minorHAnsi" w:hAnsiTheme="minorHAnsi"/>
        </w:rPr>
        <w:t xml:space="preserve">příjmy stran (hlavně dary a sponzorské příspěvky </w:t>
      </w:r>
      <w:r w:rsidR="00221151">
        <w:rPr>
          <w:rFonts w:asciiTheme="minorHAnsi" w:hAnsiTheme="minorHAnsi"/>
        </w:rPr>
        <w:t xml:space="preserve">fyzických i </w:t>
      </w:r>
      <w:r w:rsidRPr="00B25690">
        <w:rPr>
          <w:rFonts w:asciiTheme="minorHAnsi" w:hAnsiTheme="minorHAnsi"/>
        </w:rPr>
        <w:t>právnických osob)</w:t>
      </w:r>
      <w:r>
        <w:rPr>
          <w:rFonts w:asciiTheme="minorHAnsi" w:hAnsiTheme="minorHAnsi"/>
        </w:rPr>
        <w:t xml:space="preserve">. </w:t>
      </w:r>
      <w:r w:rsidR="00176750" w:rsidRPr="00B25690">
        <w:rPr>
          <w:rFonts w:asciiTheme="minorHAnsi" w:hAnsiTheme="minorHAnsi"/>
        </w:rPr>
        <w:t>Pro</w:t>
      </w:r>
      <w:r w:rsidR="00E72D4A" w:rsidRPr="00B25690">
        <w:rPr>
          <w:rFonts w:asciiTheme="minorHAnsi" w:hAnsiTheme="minorHAnsi"/>
        </w:rPr>
        <w:t xml:space="preserve">blematika jasného určení dárce, </w:t>
      </w:r>
      <w:r w:rsidR="001451AD">
        <w:rPr>
          <w:rFonts w:asciiTheme="minorHAnsi" w:hAnsiTheme="minorHAnsi"/>
        </w:rPr>
        <w:t xml:space="preserve">zejména </w:t>
      </w:r>
      <w:r w:rsidR="00E72D4A" w:rsidRPr="00B25690">
        <w:rPr>
          <w:rFonts w:asciiTheme="minorHAnsi" w:hAnsiTheme="minorHAnsi"/>
        </w:rPr>
        <w:t>u</w:t>
      </w:r>
      <w:r w:rsidR="00176750" w:rsidRPr="00B25690">
        <w:rPr>
          <w:rFonts w:asciiTheme="minorHAnsi" w:hAnsiTheme="minorHAnsi"/>
        </w:rPr>
        <w:t xml:space="preserve"> fyzických osob</w:t>
      </w:r>
      <w:r w:rsidR="001451AD">
        <w:rPr>
          <w:rFonts w:asciiTheme="minorHAnsi" w:hAnsiTheme="minorHAnsi"/>
        </w:rPr>
        <w:t xml:space="preserve"> </w:t>
      </w:r>
      <w:r w:rsidR="00E72D4A" w:rsidRPr="00B25690">
        <w:rPr>
          <w:rFonts w:asciiTheme="minorHAnsi" w:hAnsiTheme="minorHAnsi"/>
        </w:rPr>
        <w:t xml:space="preserve">je jedním z hlavních rizikových faktorů. </w:t>
      </w:r>
      <w:r w:rsidR="00176750" w:rsidRPr="00B25690">
        <w:rPr>
          <w:rFonts w:asciiTheme="minorHAnsi" w:hAnsiTheme="minorHAnsi"/>
        </w:rPr>
        <w:t>Data k anal</w:t>
      </w:r>
      <w:r w:rsidR="00E72D4A" w:rsidRPr="00B25690">
        <w:rPr>
          <w:rFonts w:asciiTheme="minorHAnsi" w:hAnsiTheme="minorHAnsi"/>
        </w:rPr>
        <w:t xml:space="preserve">ýze darů jsme získávali především z </w:t>
      </w:r>
      <w:r w:rsidR="00176750" w:rsidRPr="00B25690">
        <w:rPr>
          <w:rFonts w:asciiTheme="minorHAnsi" w:hAnsiTheme="minorHAnsi"/>
        </w:rPr>
        <w:t>výroční</w:t>
      </w:r>
      <w:r w:rsidR="00E72D4A" w:rsidRPr="00B25690">
        <w:rPr>
          <w:rFonts w:asciiTheme="minorHAnsi" w:hAnsiTheme="minorHAnsi"/>
        </w:rPr>
        <w:t>ch zpráv polických stran, jakožto primárního zdroje a dále z otevřených dat na webovém portálu</w:t>
      </w:r>
      <w:r w:rsidR="00221151">
        <w:rPr>
          <w:rFonts w:asciiTheme="minorHAnsi" w:hAnsiTheme="minorHAnsi"/>
        </w:rPr>
        <w:t xml:space="preserve">: </w:t>
      </w:r>
      <w:hyperlink r:id="rId9" w:history="1">
        <w:r w:rsidR="00176750" w:rsidRPr="00B25690">
          <w:rPr>
            <w:rStyle w:val="Hypertextovodkaz"/>
            <w:rFonts w:asciiTheme="minorHAnsi" w:hAnsiTheme="minorHAnsi"/>
            <w:color w:val="0070C0"/>
          </w:rPr>
          <w:t>politickefinance.</w:t>
        </w:r>
        <w:r w:rsidR="00E72D4A" w:rsidRPr="00B25690">
          <w:rPr>
            <w:rStyle w:val="Hypertextovodkaz"/>
            <w:rFonts w:asciiTheme="minorHAnsi" w:hAnsiTheme="minorHAnsi"/>
            <w:color w:val="0070C0"/>
          </w:rPr>
          <w:t>cz</w:t>
        </w:r>
      </w:hyperlink>
      <w:r w:rsidR="00E72D4A" w:rsidRPr="00B25690">
        <w:rPr>
          <w:rFonts w:asciiTheme="minorHAnsi" w:hAnsiTheme="minorHAnsi"/>
        </w:rPr>
        <w:t>.</w:t>
      </w:r>
      <w:r w:rsidR="00176750" w:rsidRPr="00B25690">
        <w:rPr>
          <w:rFonts w:asciiTheme="minorHAnsi" w:hAnsiTheme="minorHAnsi"/>
        </w:rPr>
        <w:t xml:space="preserve"> </w:t>
      </w:r>
    </w:p>
    <w:p w:rsidR="00176750" w:rsidRPr="003F6F34" w:rsidRDefault="00E72D4A" w:rsidP="00E42641">
      <w:pPr>
        <w:pStyle w:val="Nadpis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F6F34">
        <w:rPr>
          <w:rFonts w:asciiTheme="minorHAnsi" w:hAnsiTheme="minorHAnsi"/>
          <w:color w:val="000000" w:themeColor="text1"/>
          <w:sz w:val="24"/>
          <w:szCs w:val="24"/>
        </w:rPr>
        <w:lastRenderedPageBreak/>
        <w:t>Konkrétní r</w:t>
      </w:r>
      <w:r w:rsidR="00176750" w:rsidRPr="003F6F34">
        <w:rPr>
          <w:rFonts w:asciiTheme="minorHAnsi" w:hAnsiTheme="minorHAnsi"/>
          <w:color w:val="000000" w:themeColor="text1"/>
          <w:sz w:val="24"/>
          <w:szCs w:val="24"/>
        </w:rPr>
        <w:t>izikové faktory</w:t>
      </w:r>
      <w:r w:rsidR="00221151" w:rsidRPr="003F6F34">
        <w:rPr>
          <w:rFonts w:asciiTheme="minorHAnsi" w:hAnsiTheme="minorHAnsi"/>
          <w:color w:val="000000" w:themeColor="text1"/>
          <w:sz w:val="24"/>
          <w:szCs w:val="24"/>
        </w:rPr>
        <w:t xml:space="preserve"> (příloha ukazuje konkrétní příklady firem)</w:t>
      </w:r>
    </w:p>
    <w:p w:rsidR="00176750" w:rsidRPr="00B25690" w:rsidRDefault="00176750" w:rsidP="00C51B1A">
      <w:pPr>
        <w:pStyle w:val="Odstavecseseznamem"/>
        <w:numPr>
          <w:ilvl w:val="0"/>
          <w:numId w:val="17"/>
        </w:numPr>
        <w:spacing w:line="259" w:lineRule="auto"/>
        <w:jc w:val="both"/>
      </w:pPr>
      <w:r w:rsidRPr="00B25690">
        <w:rPr>
          <w:bCs/>
        </w:rPr>
        <w:t>veřejné zak</w:t>
      </w:r>
      <w:r w:rsidR="004A578C">
        <w:rPr>
          <w:bCs/>
        </w:rPr>
        <w:t xml:space="preserve">ázky </w:t>
      </w:r>
    </w:p>
    <w:p w:rsidR="00176750" w:rsidRPr="00B25690" w:rsidRDefault="00176750" w:rsidP="00C51B1A">
      <w:pPr>
        <w:pStyle w:val="Odstavecseseznamem"/>
        <w:numPr>
          <w:ilvl w:val="0"/>
          <w:numId w:val="17"/>
        </w:numPr>
        <w:spacing w:line="259" w:lineRule="auto"/>
        <w:jc w:val="both"/>
      </w:pPr>
      <w:r w:rsidRPr="00B25690">
        <w:rPr>
          <w:bCs/>
        </w:rPr>
        <w:t>evropské dotace</w:t>
      </w:r>
    </w:p>
    <w:p w:rsidR="00176750" w:rsidRPr="00B25690" w:rsidRDefault="00176750" w:rsidP="00C51B1A">
      <w:pPr>
        <w:pStyle w:val="Odstavecseseznamem"/>
        <w:numPr>
          <w:ilvl w:val="0"/>
          <w:numId w:val="17"/>
        </w:numPr>
        <w:spacing w:line="259" w:lineRule="auto"/>
        <w:jc w:val="both"/>
      </w:pPr>
      <w:r w:rsidRPr="00B25690">
        <w:rPr>
          <w:bCs/>
        </w:rPr>
        <w:t>daňový ráj/anonymní akcie</w:t>
      </w:r>
    </w:p>
    <w:p w:rsidR="00176750" w:rsidRPr="00B25690" w:rsidRDefault="00176750" w:rsidP="00C51B1A">
      <w:pPr>
        <w:pStyle w:val="Odstavecseseznamem"/>
        <w:numPr>
          <w:ilvl w:val="0"/>
          <w:numId w:val="17"/>
        </w:numPr>
        <w:spacing w:line="259" w:lineRule="auto"/>
        <w:jc w:val="both"/>
      </w:pPr>
      <w:r w:rsidRPr="00B25690">
        <w:rPr>
          <w:bCs/>
        </w:rPr>
        <w:t>prázdná schránka, firmy bez činnosti, zaměstnanců</w:t>
      </w:r>
    </w:p>
    <w:p w:rsidR="00176750" w:rsidRPr="00B25690" w:rsidRDefault="00176750" w:rsidP="00C51B1A">
      <w:pPr>
        <w:pStyle w:val="Odstavecseseznamem"/>
        <w:numPr>
          <w:ilvl w:val="0"/>
          <w:numId w:val="17"/>
        </w:numPr>
        <w:spacing w:line="259" w:lineRule="auto"/>
        <w:jc w:val="both"/>
      </w:pPr>
      <w:r w:rsidRPr="00B25690">
        <w:rPr>
          <w:bCs/>
        </w:rPr>
        <w:t>černé duše</w:t>
      </w:r>
    </w:p>
    <w:p w:rsidR="00176750" w:rsidRPr="00B25690" w:rsidRDefault="00176750" w:rsidP="00C51B1A">
      <w:pPr>
        <w:pStyle w:val="Odstavecseseznamem"/>
        <w:numPr>
          <w:ilvl w:val="0"/>
          <w:numId w:val="17"/>
        </w:numPr>
        <w:spacing w:line="259" w:lineRule="auto"/>
        <w:jc w:val="both"/>
      </w:pPr>
      <w:r w:rsidRPr="00B25690">
        <w:rPr>
          <w:bCs/>
        </w:rPr>
        <w:t>spřízněné firmy</w:t>
      </w:r>
    </w:p>
    <w:p w:rsidR="00176750" w:rsidRPr="00B25690" w:rsidRDefault="00176750" w:rsidP="00C51B1A">
      <w:pPr>
        <w:pStyle w:val="Odstavecseseznamem"/>
        <w:numPr>
          <w:ilvl w:val="0"/>
          <w:numId w:val="17"/>
        </w:numPr>
        <w:spacing w:line="259" w:lineRule="auto"/>
        <w:jc w:val="both"/>
      </w:pPr>
      <w:r w:rsidRPr="00B25690">
        <w:rPr>
          <w:bCs/>
        </w:rPr>
        <w:t>podíl státu/politika</w:t>
      </w:r>
    </w:p>
    <w:p w:rsidR="00176750" w:rsidRPr="003F6F34" w:rsidRDefault="00221151" w:rsidP="00E42641">
      <w:pPr>
        <w:pStyle w:val="Nadpis2"/>
        <w:jc w:val="both"/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cs-CZ"/>
        </w:rPr>
      </w:pPr>
      <w:r w:rsidRPr="003F6F34"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cs-CZ"/>
        </w:rPr>
        <w:t>Mezi další příklady špatné</w:t>
      </w:r>
      <w:r w:rsidR="00176750" w:rsidRPr="003F6F34"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cs-CZ"/>
        </w:rPr>
        <w:t xml:space="preserve"> praxe</w:t>
      </w:r>
      <w:r w:rsidRPr="003F6F34"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cs-CZ"/>
        </w:rPr>
        <w:t xml:space="preserve">, která </w:t>
      </w:r>
      <w:r w:rsidR="00176750" w:rsidRPr="003F6F34"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cs-CZ"/>
        </w:rPr>
        <w:t>zasluhuje hlubší pozornost a vysvětlení</w:t>
      </w:r>
      <w:r w:rsidRPr="003F6F34"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cs-CZ"/>
        </w:rPr>
        <w:t xml:space="preserve"> stran patří:</w:t>
      </w:r>
    </w:p>
    <w:p w:rsidR="000B17B4" w:rsidRPr="00C51B1A" w:rsidRDefault="00176750" w:rsidP="00E42641">
      <w:pPr>
        <w:pStyle w:val="Nadpis4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Kumulování darů od různých subjektů se stejným majitelem</w:t>
      </w:r>
    </w:p>
    <w:p w:rsidR="000B17B4" w:rsidRPr="00C51B1A" w:rsidRDefault="00176750" w:rsidP="00E42641">
      <w:pPr>
        <w:pStyle w:val="Nadpis4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Kumulování darů od stejných subjektů ve stejn</w:t>
      </w:r>
      <w:r w:rsidR="00221151"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ém roce</w:t>
      </w:r>
    </w:p>
    <w:p w:rsidR="00176750" w:rsidRPr="00C51B1A" w:rsidRDefault="00176750" w:rsidP="00E42641">
      <w:pPr>
        <w:pStyle w:val="Nadpis4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Sponzorské dary strany vůči straně</w:t>
      </w:r>
    </w:p>
    <w:p w:rsidR="000B17B4" w:rsidRPr="00C51B1A" w:rsidRDefault="0004030C" w:rsidP="00E42641">
      <w:pPr>
        <w:pStyle w:val="Nadpis4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F</w:t>
      </w:r>
      <w:r w:rsidR="00176750"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irmy vlastněné stranou (průtokové ohřívače) </w:t>
      </w:r>
      <w:r w:rsidR="00221151"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a jejich hospodaření</w:t>
      </w:r>
    </w:p>
    <w:p w:rsidR="000B17B4" w:rsidRPr="00C51B1A" w:rsidRDefault="00221151" w:rsidP="00E42641">
      <w:pPr>
        <w:pStyle w:val="Nadpis4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Dar jako p</w:t>
      </w:r>
      <w:r w:rsidR="00176750"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řiznaná investice</w:t>
      </w:r>
    </w:p>
    <w:p w:rsidR="000B17B4" w:rsidRPr="00C51B1A" w:rsidRDefault="0004030C" w:rsidP="00E42641">
      <w:pPr>
        <w:pStyle w:val="Nadpis4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O</w:t>
      </w:r>
      <w:r w:rsidR="00176750" w:rsidRPr="00C51B1A">
        <w:rPr>
          <w:rFonts w:asciiTheme="minorHAnsi" w:hAnsiTheme="minorHAnsi"/>
          <w:i w:val="0"/>
          <w:color w:val="000000" w:themeColor="text1"/>
          <w:sz w:val="24"/>
          <w:szCs w:val="24"/>
        </w:rPr>
        <w:t>soby stíhané či napojené na výnosy z trestné činnosti</w:t>
      </w:r>
    </w:p>
    <w:p w:rsidR="00221151" w:rsidRDefault="00221151" w:rsidP="00E42641">
      <w:pPr>
        <w:ind w:left="720"/>
        <w:jc w:val="both"/>
        <w:rPr>
          <w:rFonts w:asciiTheme="minorHAnsi" w:hAnsiTheme="minorHAnsi"/>
        </w:rPr>
      </w:pPr>
    </w:p>
    <w:p w:rsidR="0074702E" w:rsidRPr="0074702E" w:rsidRDefault="0074702E" w:rsidP="0074702E">
      <w:pPr>
        <w:jc w:val="both"/>
        <w:rPr>
          <w:rFonts w:asciiTheme="minorHAnsi" w:hAnsiTheme="minorHAnsi"/>
          <w:b/>
        </w:rPr>
      </w:pPr>
      <w:r w:rsidRPr="0074702E">
        <w:rPr>
          <w:rFonts w:asciiTheme="minorHAnsi" w:hAnsiTheme="minorHAnsi"/>
          <w:b/>
        </w:rPr>
        <w:t xml:space="preserve">A také </w:t>
      </w:r>
      <w:r>
        <w:rPr>
          <w:rFonts w:asciiTheme="minorHAnsi" w:hAnsiTheme="minorHAnsi"/>
          <w:b/>
        </w:rPr>
        <w:t>j</w:t>
      </w:r>
      <w:r w:rsidRPr="0074702E">
        <w:rPr>
          <w:rFonts w:asciiTheme="minorHAnsi" w:hAnsiTheme="minorHAnsi"/>
          <w:b/>
        </w:rPr>
        <w:t>e nutné reagovat na trend</w:t>
      </w:r>
      <w:r>
        <w:rPr>
          <w:rFonts w:asciiTheme="minorHAnsi" w:hAnsiTheme="minorHAnsi"/>
          <w:b/>
        </w:rPr>
        <w:t xml:space="preserve"> viditelný u většiny relevantních stran</w:t>
      </w:r>
      <w:r w:rsidRPr="0074702E">
        <w:rPr>
          <w:rFonts w:asciiTheme="minorHAnsi" w:hAnsiTheme="minorHAnsi"/>
          <w:b/>
        </w:rPr>
        <w:t>, kdy strany přechází na dluhový způsob svého financování, berou si velké půjčky a úvěry. A není vždy jasné od koho, za jakých podmínek a jak probíhá splácení. Mění to klasický systém financování stran (kdy se sledovali hlavně sponzoři a jejich vazby).</w:t>
      </w:r>
    </w:p>
    <w:p w:rsidR="00176750" w:rsidRPr="00B25690" w:rsidRDefault="00176750" w:rsidP="00E42641">
      <w:pPr>
        <w:pStyle w:val="Nadpis2"/>
        <w:jc w:val="both"/>
        <w:rPr>
          <w:rFonts w:asciiTheme="minorHAnsi" w:hAnsiTheme="minorHAnsi"/>
          <w:color w:val="0070C0"/>
          <w:sz w:val="24"/>
          <w:szCs w:val="24"/>
        </w:rPr>
      </w:pPr>
      <w:r w:rsidRPr="00B25690">
        <w:rPr>
          <w:rFonts w:asciiTheme="minorHAnsi" w:hAnsiTheme="minorHAnsi"/>
          <w:color w:val="0070C0"/>
          <w:sz w:val="24"/>
          <w:szCs w:val="24"/>
        </w:rPr>
        <w:t>Financování hnutí ANO – nový hráč na politickém trhu</w:t>
      </w:r>
    </w:p>
    <w:p w:rsidR="00176750" w:rsidRPr="00E42641" w:rsidRDefault="00581030" w:rsidP="00E42641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0B17B4" w:rsidRPr="00E42641">
        <w:rPr>
          <w:rFonts w:asciiTheme="minorHAnsi" w:hAnsiTheme="minorHAnsi"/>
          <w:b/>
        </w:rPr>
        <w:t xml:space="preserve">I </w:t>
      </w:r>
      <w:r>
        <w:rPr>
          <w:rFonts w:asciiTheme="minorHAnsi" w:hAnsiTheme="minorHAnsi"/>
          <w:b/>
        </w:rPr>
        <w:t>s</w:t>
      </w:r>
      <w:r w:rsidR="000B17B4" w:rsidRPr="00E42641">
        <w:rPr>
          <w:rFonts w:asciiTheme="minorHAnsi" w:hAnsiTheme="minorHAnsi"/>
          <w:b/>
        </w:rPr>
        <w:t xml:space="preserve">e </w:t>
      </w:r>
      <w:proofErr w:type="gramStart"/>
      <w:r w:rsidR="000B17B4" w:rsidRPr="00E42641">
        <w:rPr>
          <w:rFonts w:asciiTheme="minorHAnsi" w:hAnsiTheme="minorHAnsi"/>
          <w:b/>
        </w:rPr>
        <w:t>věnoval</w:t>
      </w:r>
      <w:r>
        <w:rPr>
          <w:rFonts w:asciiTheme="minorHAnsi" w:hAnsiTheme="minorHAnsi"/>
          <w:b/>
        </w:rPr>
        <w:t>a</w:t>
      </w:r>
      <w:proofErr w:type="gramEnd"/>
      <w:r w:rsidR="000B17B4" w:rsidRPr="00E42641">
        <w:rPr>
          <w:rFonts w:asciiTheme="minorHAnsi" w:hAnsiTheme="minorHAnsi"/>
          <w:b/>
        </w:rPr>
        <w:t xml:space="preserve"> podrobnější analýze hnutí ANO vzhledem k tomu, že se jedná o </w:t>
      </w:r>
      <w:r w:rsidR="00176750" w:rsidRPr="00E42641">
        <w:rPr>
          <w:rFonts w:asciiTheme="minorHAnsi" w:hAnsiTheme="minorHAnsi"/>
          <w:b/>
        </w:rPr>
        <w:t>nov</w:t>
      </w:r>
      <w:r w:rsidR="000B17B4" w:rsidRPr="00E42641">
        <w:rPr>
          <w:rFonts w:asciiTheme="minorHAnsi" w:hAnsiTheme="minorHAnsi"/>
          <w:b/>
        </w:rPr>
        <w:t>ý relevantní politický subjekt</w:t>
      </w:r>
      <w:r>
        <w:rPr>
          <w:rFonts w:asciiTheme="minorHAnsi" w:hAnsiTheme="minorHAnsi"/>
          <w:b/>
        </w:rPr>
        <w:t xml:space="preserve"> a</w:t>
      </w:r>
      <w:r w:rsidR="00221151" w:rsidRPr="00E42641">
        <w:rPr>
          <w:rFonts w:asciiTheme="minorHAnsi" w:hAnsiTheme="minorHAnsi"/>
          <w:b/>
        </w:rPr>
        <w:t xml:space="preserve"> má s</w:t>
      </w:r>
      <w:r w:rsidR="00176750" w:rsidRPr="00E42641">
        <w:rPr>
          <w:rFonts w:asciiTheme="minorHAnsi" w:hAnsiTheme="minorHAnsi"/>
          <w:b/>
        </w:rPr>
        <w:t xml:space="preserve">mysl </w:t>
      </w:r>
      <w:r w:rsidR="00221151" w:rsidRPr="00E42641">
        <w:rPr>
          <w:rFonts w:asciiTheme="minorHAnsi" w:hAnsiTheme="minorHAnsi"/>
          <w:b/>
        </w:rPr>
        <w:t>zji</w:t>
      </w:r>
      <w:r>
        <w:rPr>
          <w:rFonts w:asciiTheme="minorHAnsi" w:hAnsiTheme="minorHAnsi"/>
          <w:b/>
        </w:rPr>
        <w:t>šťovat</w:t>
      </w:r>
      <w:r w:rsidR="00176750" w:rsidRPr="00E42641">
        <w:rPr>
          <w:rFonts w:asciiTheme="minorHAnsi" w:hAnsiTheme="minorHAnsi"/>
          <w:b/>
        </w:rPr>
        <w:t>, zda trpí obdobnými problémy jako zavedené strany</w:t>
      </w:r>
      <w:r w:rsidR="0047451F" w:rsidRPr="00E42641">
        <w:rPr>
          <w:rFonts w:asciiTheme="minorHAnsi" w:hAnsiTheme="minorHAnsi"/>
          <w:b/>
        </w:rPr>
        <w:t>.</w:t>
      </w:r>
    </w:p>
    <w:p w:rsidR="00740073" w:rsidRPr="00B25690" w:rsidRDefault="00740073" w:rsidP="00E42641">
      <w:pPr>
        <w:jc w:val="both"/>
        <w:rPr>
          <w:rFonts w:asciiTheme="minorHAnsi" w:hAnsiTheme="minorHAnsi"/>
        </w:rPr>
      </w:pPr>
    </w:p>
    <w:p w:rsidR="0047451F" w:rsidRPr="00B25690" w:rsidRDefault="00740073" w:rsidP="00E42641">
      <w:pPr>
        <w:jc w:val="both"/>
        <w:rPr>
          <w:rFonts w:asciiTheme="minorHAnsi" w:hAnsiTheme="minorHAnsi"/>
        </w:rPr>
      </w:pPr>
      <w:r w:rsidRPr="00B25690">
        <w:rPr>
          <w:rFonts w:asciiTheme="minorHAnsi" w:hAnsiTheme="minorHAnsi"/>
        </w:rPr>
        <w:t xml:space="preserve">V roce 2012 </w:t>
      </w:r>
      <w:r w:rsidR="0047451F" w:rsidRPr="00B25690">
        <w:rPr>
          <w:rFonts w:asciiTheme="minorHAnsi" w:hAnsiTheme="minorHAnsi"/>
        </w:rPr>
        <w:t>byla strana financována čistě z darů,</w:t>
      </w:r>
      <w:r w:rsidR="0004030C" w:rsidRPr="00B25690">
        <w:rPr>
          <w:rFonts w:asciiTheme="minorHAnsi" w:hAnsiTheme="minorHAnsi"/>
        </w:rPr>
        <w:t xml:space="preserve"> členské příspěvky představovaly</w:t>
      </w:r>
      <w:r w:rsidR="0047451F" w:rsidRPr="00B25690">
        <w:rPr>
          <w:rFonts w:asciiTheme="minorHAnsi" w:hAnsiTheme="minorHAnsi"/>
        </w:rPr>
        <w:t xml:space="preserve"> pouhých 0,12%. Skladba donorů, naprostá většina z darovaných 64 milionů Kč byla darována subjekty, které jsou přímo </w:t>
      </w:r>
      <w:r w:rsidR="008870EF">
        <w:rPr>
          <w:rFonts w:asciiTheme="minorHAnsi" w:hAnsiTheme="minorHAnsi"/>
        </w:rPr>
        <w:t xml:space="preserve">součástí </w:t>
      </w:r>
      <w:r w:rsidR="0047451F" w:rsidRPr="00B25690">
        <w:rPr>
          <w:rFonts w:asciiTheme="minorHAnsi" w:hAnsiTheme="minorHAnsi"/>
        </w:rPr>
        <w:t>holding</w:t>
      </w:r>
      <w:r w:rsidR="008870EF">
        <w:rPr>
          <w:rFonts w:asciiTheme="minorHAnsi" w:hAnsiTheme="minorHAnsi"/>
        </w:rPr>
        <w:t>u</w:t>
      </w:r>
      <w:r w:rsidR="0047451F" w:rsidRPr="00B25690">
        <w:rPr>
          <w:rFonts w:asciiTheme="minorHAnsi" w:hAnsiTheme="minorHAnsi"/>
        </w:rPr>
        <w:t xml:space="preserve"> Agrofert.</w:t>
      </w:r>
      <w:r w:rsidR="0004030C" w:rsidRPr="00B25690">
        <w:rPr>
          <w:rFonts w:asciiTheme="minorHAnsi" w:hAnsiTheme="minorHAnsi"/>
        </w:rPr>
        <w:t xml:space="preserve"> Andrej Babiš (29,5 milionů)</w:t>
      </w:r>
      <w:r w:rsidR="0047451F" w:rsidRPr="00B25690">
        <w:rPr>
          <w:rFonts w:asciiTheme="minorHAnsi" w:hAnsiTheme="minorHAnsi"/>
        </w:rPr>
        <w:t>, DEZA (10 milionů</w:t>
      </w:r>
      <w:r w:rsidR="002E2C9A">
        <w:rPr>
          <w:rFonts w:asciiTheme="minorHAnsi" w:hAnsiTheme="minorHAnsi"/>
        </w:rPr>
        <w:t>)</w:t>
      </w:r>
      <w:r w:rsidR="0047451F" w:rsidRPr="00B25690">
        <w:rPr>
          <w:rFonts w:asciiTheme="minorHAnsi" w:hAnsiTheme="minorHAnsi"/>
        </w:rPr>
        <w:t xml:space="preserve">, </w:t>
      </w:r>
      <w:proofErr w:type="spellStart"/>
      <w:r w:rsidR="0047451F" w:rsidRPr="00B25690">
        <w:rPr>
          <w:rFonts w:asciiTheme="minorHAnsi" w:hAnsiTheme="minorHAnsi"/>
        </w:rPr>
        <w:t>Lovochemie</w:t>
      </w:r>
      <w:proofErr w:type="spellEnd"/>
      <w:r w:rsidR="0047451F" w:rsidRPr="00B25690">
        <w:rPr>
          <w:rFonts w:asciiTheme="minorHAnsi" w:hAnsiTheme="minorHAnsi"/>
        </w:rPr>
        <w:t xml:space="preserve"> (6 milionů</w:t>
      </w:r>
      <w:r w:rsidR="002E2C9A">
        <w:rPr>
          <w:rFonts w:asciiTheme="minorHAnsi" w:hAnsiTheme="minorHAnsi"/>
        </w:rPr>
        <w:t>)</w:t>
      </w:r>
      <w:r w:rsidR="0004030C" w:rsidRPr="00B25690">
        <w:rPr>
          <w:rFonts w:asciiTheme="minorHAnsi" w:hAnsiTheme="minorHAnsi"/>
        </w:rPr>
        <w:t xml:space="preserve">, PRECHEZA (6 milionů) či </w:t>
      </w:r>
      <w:r w:rsidR="0047451F" w:rsidRPr="00B25690">
        <w:rPr>
          <w:rFonts w:asciiTheme="minorHAnsi" w:hAnsiTheme="minorHAnsi"/>
        </w:rPr>
        <w:t>Synthesia (3 miliony).</w:t>
      </w:r>
    </w:p>
    <w:p w:rsidR="0047451F" w:rsidRPr="00B25690" w:rsidRDefault="0047451F" w:rsidP="00E42641">
      <w:pPr>
        <w:jc w:val="both"/>
        <w:rPr>
          <w:rFonts w:asciiTheme="minorHAnsi" w:hAnsiTheme="minorHAnsi"/>
        </w:rPr>
      </w:pPr>
    </w:p>
    <w:p w:rsidR="0047451F" w:rsidRPr="00B25690" w:rsidRDefault="00740073" w:rsidP="00E42641">
      <w:pPr>
        <w:jc w:val="both"/>
        <w:rPr>
          <w:rFonts w:asciiTheme="minorHAnsi" w:hAnsiTheme="minorHAnsi"/>
        </w:rPr>
      </w:pPr>
      <w:r w:rsidRPr="00B25690">
        <w:rPr>
          <w:rFonts w:asciiTheme="minorHAnsi" w:hAnsiTheme="minorHAnsi"/>
        </w:rPr>
        <w:t xml:space="preserve">Rok 2013 </w:t>
      </w:r>
      <w:r w:rsidR="0047451F" w:rsidRPr="00B25690">
        <w:rPr>
          <w:rFonts w:asciiTheme="minorHAnsi" w:hAnsiTheme="minorHAnsi"/>
        </w:rPr>
        <w:t>představoval již diversifikovanou p</w:t>
      </w:r>
      <w:r w:rsidR="0004030C" w:rsidRPr="00B25690">
        <w:rPr>
          <w:rFonts w:asciiTheme="minorHAnsi" w:hAnsiTheme="minorHAnsi"/>
        </w:rPr>
        <w:t>říjmovou stránku, kde dominovaly</w:t>
      </w:r>
      <w:r w:rsidR="0047451F" w:rsidRPr="00B25690">
        <w:rPr>
          <w:rFonts w:asciiTheme="minorHAnsi" w:hAnsiTheme="minorHAnsi"/>
        </w:rPr>
        <w:t xml:space="preserve"> půjčky a úvěry (dohromady 122 milionů korun, více než polovina přijmu) a příspěvek ze státního rozpočtu na úhradu volebních nákladů ve výši 92,7 milionů KČ (39 %). Dary již před</w:t>
      </w:r>
      <w:r w:rsidR="0004030C" w:rsidRPr="00B25690">
        <w:rPr>
          <w:rFonts w:asciiTheme="minorHAnsi" w:hAnsiTheme="minorHAnsi"/>
        </w:rPr>
        <w:t>stavovaly pouhých 3,35% ve výši</w:t>
      </w:r>
      <w:r w:rsidR="0047451F" w:rsidRPr="00B25690">
        <w:rPr>
          <w:rFonts w:asciiTheme="minorHAnsi" w:hAnsiTheme="minorHAnsi"/>
        </w:rPr>
        <w:t xml:space="preserve"> necelých osmi milionů korun.</w:t>
      </w:r>
    </w:p>
    <w:p w:rsidR="0047451F" w:rsidRPr="00B25690" w:rsidRDefault="0047451F" w:rsidP="00E42641">
      <w:pPr>
        <w:jc w:val="both"/>
        <w:rPr>
          <w:rFonts w:asciiTheme="minorHAnsi" w:hAnsiTheme="minorHAnsi"/>
        </w:rPr>
      </w:pPr>
    </w:p>
    <w:p w:rsidR="0047451F" w:rsidRPr="00B25690" w:rsidRDefault="0047451F" w:rsidP="00E42641">
      <w:pPr>
        <w:jc w:val="both"/>
        <w:rPr>
          <w:rFonts w:asciiTheme="minorHAnsi" w:hAnsiTheme="minorHAnsi"/>
        </w:rPr>
      </w:pPr>
      <w:r w:rsidRPr="00B25690">
        <w:rPr>
          <w:rFonts w:asciiTheme="minorHAnsi" w:hAnsiTheme="minorHAnsi"/>
        </w:rPr>
        <w:t>V roce 2014 se výše půjček snížila na 61 milionů, nicméně stále představovaly největší kapitolu příjmu hnutí. Následovaný byl příspěvkem státního rozpoč</w:t>
      </w:r>
      <w:r w:rsidR="00740073" w:rsidRPr="00B25690">
        <w:rPr>
          <w:rFonts w:asciiTheme="minorHAnsi" w:hAnsiTheme="minorHAnsi"/>
        </w:rPr>
        <w:t xml:space="preserve">tu na činnost (33%) </w:t>
      </w:r>
      <w:r w:rsidRPr="00B25690">
        <w:rPr>
          <w:rFonts w:asciiTheme="minorHAnsi" w:hAnsiTheme="minorHAnsi"/>
        </w:rPr>
        <w:t>a dary, které vyplnily jednu pětinu rozpočtu.</w:t>
      </w:r>
    </w:p>
    <w:p w:rsidR="0047451F" w:rsidRPr="00B25690" w:rsidRDefault="0047451F" w:rsidP="00E42641">
      <w:pPr>
        <w:jc w:val="both"/>
        <w:rPr>
          <w:rFonts w:asciiTheme="minorHAnsi" w:hAnsiTheme="minorHAnsi"/>
        </w:rPr>
      </w:pPr>
    </w:p>
    <w:p w:rsidR="007B56BF" w:rsidRDefault="0047451F" w:rsidP="00E42641">
      <w:pPr>
        <w:jc w:val="both"/>
        <w:rPr>
          <w:rFonts w:asciiTheme="minorHAnsi" w:hAnsiTheme="minorHAnsi"/>
        </w:rPr>
      </w:pPr>
      <w:r w:rsidRPr="00B25690">
        <w:rPr>
          <w:rFonts w:asciiTheme="minorHAnsi" w:hAnsiTheme="minorHAnsi"/>
        </w:rPr>
        <w:t xml:space="preserve">Z tohoto pohledu lze konstatovat celkem logický vývoj, kdy v prvotní fázi projekt jednoho muže je nejdřív sponzorován </w:t>
      </w:r>
      <w:r w:rsidR="00221151">
        <w:rPr>
          <w:rFonts w:asciiTheme="minorHAnsi" w:hAnsiTheme="minorHAnsi"/>
        </w:rPr>
        <w:t xml:space="preserve">z </w:t>
      </w:r>
      <w:r w:rsidRPr="00B25690">
        <w:rPr>
          <w:rFonts w:asciiTheme="minorHAnsi" w:hAnsiTheme="minorHAnsi"/>
        </w:rPr>
        <w:t xml:space="preserve">jeho </w:t>
      </w:r>
      <w:r w:rsidR="00221151">
        <w:rPr>
          <w:rFonts w:asciiTheme="minorHAnsi" w:hAnsiTheme="minorHAnsi"/>
        </w:rPr>
        <w:t xml:space="preserve">firem </w:t>
      </w:r>
      <w:r w:rsidRPr="00B25690">
        <w:rPr>
          <w:rFonts w:asciiTheme="minorHAnsi" w:hAnsiTheme="minorHAnsi"/>
        </w:rPr>
        <w:t xml:space="preserve">a následně začíná část financování představovat </w:t>
      </w:r>
    </w:p>
    <w:p w:rsidR="007B56BF" w:rsidRDefault="007B56BF" w:rsidP="00E42641">
      <w:pPr>
        <w:jc w:val="both"/>
        <w:rPr>
          <w:rFonts w:asciiTheme="minorHAnsi" w:hAnsiTheme="minorHAnsi"/>
        </w:rPr>
      </w:pPr>
    </w:p>
    <w:p w:rsidR="00E42641" w:rsidRDefault="0047451F" w:rsidP="00E42641">
      <w:pPr>
        <w:jc w:val="both"/>
        <w:rPr>
          <w:rFonts w:asciiTheme="minorHAnsi" w:hAnsiTheme="minorHAnsi"/>
        </w:rPr>
      </w:pPr>
      <w:r w:rsidRPr="00B25690">
        <w:rPr>
          <w:rFonts w:asciiTheme="minorHAnsi" w:hAnsiTheme="minorHAnsi"/>
        </w:rPr>
        <w:t xml:space="preserve">dary podporujících subjektů, popř. půjčky. Zde se však nejedná o přirozený vývoj k vytvoření </w:t>
      </w:r>
      <w:r w:rsidR="00221151">
        <w:rPr>
          <w:rFonts w:asciiTheme="minorHAnsi" w:hAnsiTheme="minorHAnsi"/>
        </w:rPr>
        <w:t>šir</w:t>
      </w:r>
      <w:r w:rsidR="00E42641">
        <w:rPr>
          <w:rFonts w:asciiTheme="minorHAnsi" w:hAnsiTheme="minorHAnsi"/>
        </w:rPr>
        <w:t>oké p</w:t>
      </w:r>
      <w:r w:rsidRPr="00B25690">
        <w:rPr>
          <w:rFonts w:asciiTheme="minorHAnsi" w:hAnsiTheme="minorHAnsi"/>
        </w:rPr>
        <w:t xml:space="preserve">odporovatelské základny. Při podrobnějším zkoumání </w:t>
      </w:r>
      <w:r w:rsidR="00221151">
        <w:rPr>
          <w:rFonts w:asciiTheme="minorHAnsi" w:hAnsiTheme="minorHAnsi"/>
        </w:rPr>
        <w:t xml:space="preserve">je </w:t>
      </w:r>
      <w:r w:rsidRPr="00B25690">
        <w:rPr>
          <w:rFonts w:asciiTheme="minorHAnsi" w:hAnsiTheme="minorHAnsi"/>
        </w:rPr>
        <w:t>většina celkov</w:t>
      </w:r>
      <w:r w:rsidR="00221151">
        <w:rPr>
          <w:rFonts w:asciiTheme="minorHAnsi" w:hAnsiTheme="minorHAnsi"/>
        </w:rPr>
        <w:t>ých příjmů</w:t>
      </w:r>
      <w:r w:rsidRPr="00B25690">
        <w:rPr>
          <w:rFonts w:asciiTheme="minorHAnsi" w:hAnsiTheme="minorHAnsi"/>
        </w:rPr>
        <w:t xml:space="preserve"> spojena s </w:t>
      </w:r>
      <w:proofErr w:type="spellStart"/>
      <w:r w:rsidRPr="00B25690">
        <w:rPr>
          <w:rFonts w:asciiTheme="minorHAnsi" w:hAnsiTheme="minorHAnsi"/>
        </w:rPr>
        <w:t>Agrofertem</w:t>
      </w:r>
      <w:proofErr w:type="spellEnd"/>
      <w:r w:rsidRPr="00B25690">
        <w:rPr>
          <w:rFonts w:asciiTheme="minorHAnsi" w:hAnsiTheme="minorHAnsi"/>
        </w:rPr>
        <w:t xml:space="preserve"> </w:t>
      </w:r>
      <w:r w:rsidR="00E42641">
        <w:rPr>
          <w:rFonts w:asciiTheme="minorHAnsi" w:hAnsiTheme="minorHAnsi"/>
        </w:rPr>
        <w:t>a na</w:t>
      </w:r>
      <w:r w:rsidR="0004030C" w:rsidRPr="00B25690">
        <w:rPr>
          <w:rFonts w:asciiTheme="minorHAnsi" w:hAnsiTheme="minorHAnsi"/>
        </w:rPr>
        <w:t>pojenými</w:t>
      </w:r>
      <w:r w:rsidRPr="00B25690">
        <w:rPr>
          <w:rFonts w:asciiTheme="minorHAnsi" w:hAnsiTheme="minorHAnsi"/>
        </w:rPr>
        <w:t xml:space="preserve"> </w:t>
      </w:r>
      <w:r w:rsidR="0004030C" w:rsidRPr="00B25690">
        <w:rPr>
          <w:rFonts w:asciiTheme="minorHAnsi" w:hAnsiTheme="minorHAnsi"/>
        </w:rPr>
        <w:t>firmami</w:t>
      </w:r>
      <w:r w:rsidRPr="00B25690">
        <w:rPr>
          <w:rFonts w:asciiTheme="minorHAnsi" w:hAnsiTheme="minorHAnsi"/>
        </w:rPr>
        <w:t xml:space="preserve">. Tuto tezi podporuje i spektrum fyzických donorů v roce 2015 – </w:t>
      </w:r>
      <w:r w:rsidR="00221151">
        <w:rPr>
          <w:rFonts w:asciiTheme="minorHAnsi" w:hAnsiTheme="minorHAnsi"/>
        </w:rPr>
        <w:t xml:space="preserve">a </w:t>
      </w:r>
      <w:r w:rsidR="00E42641">
        <w:rPr>
          <w:rFonts w:asciiTheme="minorHAnsi" w:hAnsiTheme="minorHAnsi"/>
        </w:rPr>
        <w:t xml:space="preserve">vysoký </w:t>
      </w:r>
      <w:r w:rsidRPr="00B25690">
        <w:rPr>
          <w:rFonts w:asciiTheme="minorHAnsi" w:hAnsiTheme="minorHAnsi"/>
        </w:rPr>
        <w:t xml:space="preserve">poměr lidí </w:t>
      </w:r>
      <w:r w:rsidR="00221151">
        <w:rPr>
          <w:rFonts w:asciiTheme="minorHAnsi" w:hAnsiTheme="minorHAnsi"/>
        </w:rPr>
        <w:t xml:space="preserve">přímo </w:t>
      </w:r>
      <w:r w:rsidR="0004030C" w:rsidRPr="00B25690">
        <w:rPr>
          <w:rFonts w:asciiTheme="minorHAnsi" w:hAnsiTheme="minorHAnsi"/>
        </w:rPr>
        <w:t xml:space="preserve">politicky </w:t>
      </w:r>
      <w:r w:rsidRPr="00B25690">
        <w:rPr>
          <w:rFonts w:asciiTheme="minorHAnsi" w:hAnsiTheme="minorHAnsi"/>
        </w:rPr>
        <w:t>sp</w:t>
      </w:r>
      <w:r w:rsidR="0004030C" w:rsidRPr="00B25690">
        <w:rPr>
          <w:rFonts w:asciiTheme="minorHAnsi" w:hAnsiTheme="minorHAnsi"/>
        </w:rPr>
        <w:t xml:space="preserve">ojených </w:t>
      </w:r>
      <w:r w:rsidRPr="00B25690">
        <w:rPr>
          <w:rFonts w:asciiTheme="minorHAnsi" w:hAnsiTheme="minorHAnsi"/>
        </w:rPr>
        <w:t>s</w:t>
      </w:r>
      <w:r w:rsidR="00221151">
        <w:rPr>
          <w:rFonts w:asciiTheme="minorHAnsi" w:hAnsiTheme="minorHAnsi"/>
        </w:rPr>
        <w:t xml:space="preserve"> lidmi </w:t>
      </w:r>
      <w:r w:rsidRPr="00B25690">
        <w:rPr>
          <w:rFonts w:asciiTheme="minorHAnsi" w:hAnsiTheme="minorHAnsi"/>
        </w:rPr>
        <w:t>ANO</w:t>
      </w:r>
      <w:r w:rsidR="00221151">
        <w:rPr>
          <w:rFonts w:asciiTheme="minorHAnsi" w:hAnsiTheme="minorHAnsi"/>
        </w:rPr>
        <w:t xml:space="preserve">, které jsou dnes díky hnutí ve veřejných funkcích. </w:t>
      </w:r>
      <w:r w:rsidRPr="00B25690">
        <w:rPr>
          <w:rFonts w:asciiTheme="minorHAnsi" w:hAnsiTheme="minorHAnsi"/>
        </w:rPr>
        <w:t>Mediálně proprané mechanismy „kandiduj, zaplať“ nelze potvrdit, nicméně ani vyvrátit</w:t>
      </w:r>
      <w:r w:rsidR="008870EF">
        <w:rPr>
          <w:rFonts w:asciiTheme="minorHAnsi" w:hAnsiTheme="minorHAnsi"/>
        </w:rPr>
        <w:t xml:space="preserve"> -</w:t>
      </w:r>
      <w:r w:rsidRPr="00B25690">
        <w:rPr>
          <w:rFonts w:asciiTheme="minorHAnsi" w:hAnsiTheme="minorHAnsi"/>
        </w:rPr>
        <w:t xml:space="preserve"> většina kandidátů darovala, ale částky nejsou podle žádného vzorce.</w:t>
      </w:r>
      <w:r w:rsidR="00740073" w:rsidRPr="00B25690">
        <w:rPr>
          <w:rFonts w:asciiTheme="minorHAnsi" w:hAnsiTheme="minorHAnsi"/>
        </w:rPr>
        <w:t xml:space="preserve"> </w:t>
      </w:r>
    </w:p>
    <w:p w:rsidR="002A6A4C" w:rsidRDefault="002A6A4C" w:rsidP="00E42641">
      <w:pPr>
        <w:jc w:val="both"/>
        <w:rPr>
          <w:rFonts w:asciiTheme="minorHAnsi" w:hAnsiTheme="minorHAnsi"/>
          <w:b/>
        </w:rPr>
      </w:pPr>
    </w:p>
    <w:p w:rsidR="0047451F" w:rsidRPr="00B05FCC" w:rsidRDefault="00E42641" w:rsidP="00E42641">
      <w:pPr>
        <w:jc w:val="both"/>
        <w:rPr>
          <w:rFonts w:asciiTheme="minorHAnsi" w:hAnsiTheme="minorHAnsi"/>
          <w:i/>
        </w:rPr>
      </w:pPr>
      <w:r w:rsidRPr="00414518">
        <w:rPr>
          <w:rFonts w:asciiTheme="minorHAnsi" w:hAnsiTheme="minorHAnsi"/>
          <w:b/>
          <w:i/>
        </w:rPr>
        <w:t>„Dalším nezvyklým faktorem je vysoký po</w:t>
      </w:r>
      <w:r w:rsidR="0047451F" w:rsidRPr="00414518">
        <w:rPr>
          <w:rFonts w:asciiTheme="minorHAnsi" w:hAnsiTheme="minorHAnsi"/>
          <w:b/>
          <w:i/>
        </w:rPr>
        <w:t xml:space="preserve">díl firem </w:t>
      </w:r>
      <w:r w:rsidR="0004030C" w:rsidRPr="00414518">
        <w:rPr>
          <w:rFonts w:asciiTheme="minorHAnsi" w:hAnsiTheme="minorHAnsi"/>
          <w:b/>
          <w:i/>
        </w:rPr>
        <w:t>(</w:t>
      </w:r>
      <w:r w:rsidR="0047451F" w:rsidRPr="00414518">
        <w:rPr>
          <w:rFonts w:asciiTheme="minorHAnsi" w:hAnsiTheme="minorHAnsi"/>
          <w:b/>
          <w:i/>
        </w:rPr>
        <w:t>z celkového počtu dárců minimálně 1/5) ze zemědělského prostředí</w:t>
      </w:r>
      <w:r w:rsidR="002D3BC1" w:rsidRPr="00414518">
        <w:rPr>
          <w:rFonts w:asciiTheme="minorHAnsi" w:hAnsiTheme="minorHAnsi"/>
          <w:b/>
          <w:i/>
        </w:rPr>
        <w:t>, jiné strany nic takového nemají</w:t>
      </w:r>
      <w:r w:rsidRPr="00414518">
        <w:rPr>
          <w:rFonts w:asciiTheme="minorHAnsi" w:hAnsiTheme="minorHAnsi"/>
          <w:b/>
          <w:i/>
        </w:rPr>
        <w:t xml:space="preserve">. </w:t>
      </w:r>
      <w:r w:rsidR="001451AD" w:rsidRPr="00414518">
        <w:rPr>
          <w:rFonts w:asciiTheme="minorHAnsi" w:hAnsiTheme="minorHAnsi"/>
          <w:b/>
          <w:i/>
        </w:rPr>
        <w:t xml:space="preserve">Nejde o agrárníky, takže buď jde </w:t>
      </w:r>
      <w:r w:rsidR="0047451F" w:rsidRPr="00414518">
        <w:rPr>
          <w:rFonts w:asciiTheme="minorHAnsi" w:hAnsiTheme="minorHAnsi"/>
          <w:b/>
          <w:i/>
        </w:rPr>
        <w:t>o velké sympatie k</w:t>
      </w:r>
      <w:r w:rsidRPr="00414518">
        <w:rPr>
          <w:rFonts w:asciiTheme="minorHAnsi" w:hAnsiTheme="minorHAnsi"/>
          <w:b/>
          <w:i/>
        </w:rPr>
        <w:t xml:space="preserve"> zemědělské politice </w:t>
      </w:r>
      <w:r w:rsidR="0047451F" w:rsidRPr="00414518">
        <w:rPr>
          <w:rFonts w:asciiTheme="minorHAnsi" w:hAnsiTheme="minorHAnsi"/>
          <w:b/>
          <w:i/>
        </w:rPr>
        <w:t>hnutí</w:t>
      </w:r>
      <w:r w:rsidRPr="00414518">
        <w:rPr>
          <w:rFonts w:asciiTheme="minorHAnsi" w:hAnsiTheme="minorHAnsi"/>
          <w:b/>
          <w:i/>
        </w:rPr>
        <w:t xml:space="preserve"> ANO</w:t>
      </w:r>
      <w:r w:rsidR="0047451F" w:rsidRPr="00414518">
        <w:rPr>
          <w:rFonts w:asciiTheme="minorHAnsi" w:hAnsiTheme="minorHAnsi"/>
          <w:b/>
          <w:i/>
        </w:rPr>
        <w:t xml:space="preserve">, </w:t>
      </w:r>
      <w:r w:rsidRPr="00414518">
        <w:rPr>
          <w:rFonts w:asciiTheme="minorHAnsi" w:hAnsiTheme="minorHAnsi"/>
          <w:b/>
          <w:i/>
        </w:rPr>
        <w:t>a</w:t>
      </w:r>
      <w:r w:rsidR="001451AD" w:rsidRPr="00414518">
        <w:rPr>
          <w:rFonts w:asciiTheme="minorHAnsi" w:hAnsiTheme="minorHAnsi"/>
          <w:b/>
          <w:i/>
        </w:rPr>
        <w:t xml:space="preserve">nebo </w:t>
      </w:r>
      <w:r w:rsidRPr="00414518">
        <w:rPr>
          <w:rFonts w:asciiTheme="minorHAnsi" w:hAnsiTheme="minorHAnsi"/>
          <w:b/>
          <w:i/>
        </w:rPr>
        <w:t xml:space="preserve">se nabízí otázka ohledně využití </w:t>
      </w:r>
      <w:r w:rsidR="0047451F" w:rsidRPr="00414518">
        <w:rPr>
          <w:rFonts w:asciiTheme="minorHAnsi" w:hAnsiTheme="minorHAnsi"/>
          <w:b/>
          <w:i/>
        </w:rPr>
        <w:t xml:space="preserve">dominantního postavení </w:t>
      </w:r>
      <w:proofErr w:type="spellStart"/>
      <w:r w:rsidR="0047451F" w:rsidRPr="00414518">
        <w:rPr>
          <w:rFonts w:asciiTheme="minorHAnsi" w:hAnsiTheme="minorHAnsi"/>
          <w:b/>
          <w:i/>
        </w:rPr>
        <w:t>A</w:t>
      </w:r>
      <w:r w:rsidR="001451AD" w:rsidRPr="00414518">
        <w:rPr>
          <w:rFonts w:asciiTheme="minorHAnsi" w:hAnsiTheme="minorHAnsi"/>
          <w:b/>
          <w:i/>
        </w:rPr>
        <w:t>grofertu</w:t>
      </w:r>
      <w:proofErr w:type="spellEnd"/>
      <w:r w:rsidR="0047451F" w:rsidRPr="00414518">
        <w:rPr>
          <w:rFonts w:asciiTheme="minorHAnsi" w:hAnsiTheme="minorHAnsi"/>
          <w:b/>
          <w:i/>
        </w:rPr>
        <w:t xml:space="preserve"> v</w:t>
      </w:r>
      <w:r w:rsidRPr="00414518">
        <w:rPr>
          <w:rFonts w:asciiTheme="minorHAnsi" w:hAnsiTheme="minorHAnsi"/>
          <w:b/>
          <w:i/>
        </w:rPr>
        <w:t> tomto sektoru</w:t>
      </w:r>
      <w:r w:rsidR="00414518" w:rsidRPr="00414518">
        <w:rPr>
          <w:rFonts w:asciiTheme="minorHAnsi" w:hAnsiTheme="minorHAnsi"/>
          <w:b/>
          <w:i/>
        </w:rPr>
        <w:t>,</w:t>
      </w:r>
      <w:r w:rsidRPr="00414518">
        <w:rPr>
          <w:rFonts w:asciiTheme="minorHAnsi" w:hAnsiTheme="minorHAnsi"/>
          <w:b/>
          <w:i/>
        </w:rPr>
        <w:t xml:space="preserve">“ </w:t>
      </w:r>
      <w:r w:rsidR="00B05FCC" w:rsidRPr="00B05FCC">
        <w:rPr>
          <w:rFonts w:asciiTheme="minorHAnsi" w:hAnsiTheme="minorHAnsi"/>
          <w:i/>
        </w:rPr>
        <w:t>uvádí</w:t>
      </w:r>
      <w:r w:rsidRPr="00B05FCC">
        <w:rPr>
          <w:rFonts w:asciiTheme="minorHAnsi" w:hAnsiTheme="minorHAnsi"/>
          <w:i/>
        </w:rPr>
        <w:t xml:space="preserve"> David Ondráčka, ředitel TI.</w:t>
      </w:r>
    </w:p>
    <w:p w:rsidR="00176750" w:rsidRPr="00B25690" w:rsidRDefault="00176750" w:rsidP="00E42641">
      <w:pPr>
        <w:pStyle w:val="Nadpis2"/>
        <w:jc w:val="both"/>
        <w:rPr>
          <w:rFonts w:asciiTheme="minorHAnsi" w:hAnsiTheme="minorHAnsi"/>
          <w:color w:val="0070C0"/>
          <w:sz w:val="24"/>
          <w:szCs w:val="24"/>
        </w:rPr>
      </w:pPr>
      <w:r w:rsidRPr="00B25690">
        <w:rPr>
          <w:rFonts w:asciiTheme="minorHAnsi" w:hAnsiTheme="minorHAnsi"/>
          <w:color w:val="0070C0"/>
          <w:sz w:val="24"/>
          <w:szCs w:val="24"/>
        </w:rPr>
        <w:t>Monitoring krajských a senátních voleb 2016</w:t>
      </w:r>
    </w:p>
    <w:p w:rsidR="00176750" w:rsidRPr="00581030" w:rsidRDefault="00976879" w:rsidP="00E42641">
      <w:pPr>
        <w:jc w:val="both"/>
        <w:rPr>
          <w:rFonts w:asciiTheme="minorHAnsi" w:hAnsiTheme="minorHAnsi"/>
          <w:b/>
        </w:rPr>
      </w:pPr>
      <w:proofErr w:type="gramStart"/>
      <w:r w:rsidRPr="00B25690">
        <w:rPr>
          <w:rFonts w:asciiTheme="minorHAnsi" w:hAnsiTheme="minorHAnsi"/>
        </w:rPr>
        <w:t>TI</w:t>
      </w:r>
      <w:proofErr w:type="gramEnd"/>
      <w:r w:rsidRPr="00B25690">
        <w:rPr>
          <w:rFonts w:asciiTheme="minorHAnsi" w:hAnsiTheme="minorHAnsi"/>
        </w:rPr>
        <w:t xml:space="preserve"> se </w:t>
      </w:r>
      <w:proofErr w:type="gramStart"/>
      <w:r w:rsidRPr="00B25690">
        <w:rPr>
          <w:rFonts w:asciiTheme="minorHAnsi" w:hAnsiTheme="minorHAnsi"/>
        </w:rPr>
        <w:t>bude</w:t>
      </w:r>
      <w:proofErr w:type="gramEnd"/>
      <w:r w:rsidRPr="00B25690">
        <w:rPr>
          <w:rFonts w:asciiTheme="minorHAnsi" w:hAnsiTheme="minorHAnsi"/>
        </w:rPr>
        <w:t xml:space="preserve"> nadále věnovat dalšímu monitoringu</w:t>
      </w:r>
      <w:r w:rsidR="0004030C" w:rsidRPr="00B25690">
        <w:rPr>
          <w:rFonts w:asciiTheme="minorHAnsi" w:hAnsiTheme="minorHAnsi"/>
        </w:rPr>
        <w:t>,</w:t>
      </w:r>
      <w:r w:rsidRPr="00B25690">
        <w:rPr>
          <w:rFonts w:asciiTheme="minorHAnsi" w:hAnsiTheme="minorHAnsi"/>
        </w:rPr>
        <w:t xml:space="preserve"> a to konkrétně u nadcházejících podzimn</w:t>
      </w:r>
      <w:r w:rsidR="0004030C" w:rsidRPr="00B25690">
        <w:rPr>
          <w:rFonts w:asciiTheme="minorHAnsi" w:hAnsiTheme="minorHAnsi"/>
        </w:rPr>
        <w:t xml:space="preserve">ích krajských </w:t>
      </w:r>
      <w:r w:rsidR="00581030">
        <w:rPr>
          <w:rFonts w:asciiTheme="minorHAnsi" w:hAnsiTheme="minorHAnsi"/>
        </w:rPr>
        <w:t xml:space="preserve">a senátních </w:t>
      </w:r>
      <w:r w:rsidR="0004030C" w:rsidRPr="00B25690">
        <w:rPr>
          <w:rFonts w:asciiTheme="minorHAnsi" w:hAnsiTheme="minorHAnsi"/>
        </w:rPr>
        <w:t>voleb. Cílem bude</w:t>
      </w:r>
      <w:r w:rsidRPr="00B25690">
        <w:rPr>
          <w:rFonts w:asciiTheme="minorHAnsi" w:hAnsiTheme="minorHAnsi"/>
        </w:rPr>
        <w:t xml:space="preserve"> nastavit vyšší standard otevřenosti stran při poskytování informací o financování kampaní</w:t>
      </w:r>
      <w:r w:rsidR="002D3BC1">
        <w:rPr>
          <w:rFonts w:asciiTheme="minorHAnsi" w:hAnsiTheme="minorHAnsi"/>
        </w:rPr>
        <w:t xml:space="preserve"> a</w:t>
      </w:r>
      <w:r w:rsidRPr="00B25690">
        <w:rPr>
          <w:rFonts w:asciiTheme="minorHAnsi" w:hAnsiTheme="minorHAnsi"/>
        </w:rPr>
        <w:t xml:space="preserve"> přímý tlak na kandidující subjekty přímo během volební </w:t>
      </w:r>
      <w:r w:rsidR="0004030C" w:rsidRPr="00B25690">
        <w:rPr>
          <w:rFonts w:asciiTheme="minorHAnsi" w:hAnsiTheme="minorHAnsi"/>
        </w:rPr>
        <w:t>kampaně o větší</w:t>
      </w:r>
      <w:r w:rsidRPr="00B25690">
        <w:rPr>
          <w:rFonts w:asciiTheme="minorHAnsi" w:hAnsiTheme="minorHAnsi"/>
        </w:rPr>
        <w:t xml:space="preserve"> transparentnost. </w:t>
      </w:r>
      <w:r w:rsidRPr="00581030">
        <w:rPr>
          <w:rFonts w:asciiTheme="minorHAnsi" w:hAnsiTheme="minorHAnsi"/>
          <w:b/>
        </w:rPr>
        <w:t xml:space="preserve">Další informace k monitoringu připravujeme na webu: </w:t>
      </w:r>
      <w:hyperlink r:id="rId10" w:history="1">
        <w:r w:rsidR="000B17B4" w:rsidRPr="00581030">
          <w:rPr>
            <w:rStyle w:val="Hypertextovodkaz"/>
            <w:rFonts w:asciiTheme="minorHAnsi" w:hAnsiTheme="minorHAnsi"/>
            <w:b/>
            <w:color w:val="0070C0"/>
          </w:rPr>
          <w:t>www.transparentnivolby.cz</w:t>
        </w:r>
      </w:hyperlink>
      <w:r w:rsidRPr="00581030">
        <w:rPr>
          <w:rFonts w:asciiTheme="minorHAnsi" w:hAnsiTheme="minorHAnsi"/>
          <w:b/>
        </w:rPr>
        <w:t xml:space="preserve">.  </w:t>
      </w:r>
    </w:p>
    <w:p w:rsidR="00E42641" w:rsidRDefault="00E42641" w:rsidP="00E42641">
      <w:pPr>
        <w:jc w:val="both"/>
        <w:rPr>
          <w:rFonts w:asciiTheme="minorHAnsi" w:hAnsiTheme="minorHAnsi"/>
        </w:rPr>
      </w:pPr>
    </w:p>
    <w:p w:rsidR="00C51B1A" w:rsidRDefault="00C51B1A" w:rsidP="00E42641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Ke stažení:</w:t>
      </w:r>
    </w:p>
    <w:p w:rsidR="00E42641" w:rsidRPr="00DC4019" w:rsidRDefault="00E7484F" w:rsidP="00E42641">
      <w:pPr>
        <w:jc w:val="both"/>
        <w:rPr>
          <w:rFonts w:asciiTheme="minorHAnsi" w:hAnsiTheme="minorHAnsi"/>
          <w:color w:val="0070C0"/>
        </w:rPr>
      </w:pPr>
      <w:hyperlink r:id="rId11" w:history="1">
        <w:r w:rsidR="00DC4019" w:rsidRPr="00DC4019">
          <w:rPr>
            <w:rStyle w:val="Hypertextovodkaz"/>
            <w:rFonts w:asciiTheme="minorHAnsi" w:hAnsiTheme="minorHAnsi"/>
            <w:color w:val="0070C0"/>
          </w:rPr>
          <w:t>Financování politických stran 2016 – Analýza</w:t>
        </w:r>
      </w:hyperlink>
    </w:p>
    <w:p w:rsidR="00DC4019" w:rsidRPr="00DC4019" w:rsidRDefault="00E7484F" w:rsidP="00E42641">
      <w:pPr>
        <w:jc w:val="both"/>
        <w:rPr>
          <w:rFonts w:asciiTheme="minorHAnsi" w:hAnsiTheme="minorHAnsi"/>
          <w:color w:val="0070C0"/>
        </w:rPr>
      </w:pPr>
      <w:hyperlink r:id="rId12" w:history="1">
        <w:r w:rsidR="00DC4019" w:rsidRPr="00DC4019">
          <w:rPr>
            <w:rStyle w:val="Hypertextovodkaz"/>
            <w:rFonts w:asciiTheme="minorHAnsi" w:hAnsiTheme="minorHAnsi"/>
            <w:color w:val="0070C0"/>
          </w:rPr>
          <w:t>Financování politických stran 2016 – Prezentace</w:t>
        </w:r>
      </w:hyperlink>
    </w:p>
    <w:p w:rsidR="00DC4019" w:rsidRDefault="00DC4019" w:rsidP="00E42641">
      <w:pPr>
        <w:jc w:val="both"/>
        <w:rPr>
          <w:rFonts w:asciiTheme="minorHAnsi" w:hAnsiTheme="minorHAnsi"/>
        </w:rPr>
      </w:pPr>
    </w:p>
    <w:p w:rsidR="00E42641" w:rsidRDefault="00075D15" w:rsidP="00E42641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Kontakt</w:t>
      </w:r>
      <w:r w:rsidR="007B56BF">
        <w:rPr>
          <w:rFonts w:asciiTheme="minorHAnsi" w:hAnsiTheme="minorHAnsi"/>
          <w:b/>
        </w:rPr>
        <w:t xml:space="preserve"> pro média</w:t>
      </w:r>
      <w:r w:rsidR="00E42641" w:rsidRPr="00E42641">
        <w:rPr>
          <w:rFonts w:asciiTheme="minorHAnsi" w:hAnsiTheme="minorHAnsi"/>
          <w:b/>
        </w:rPr>
        <w:t xml:space="preserve">: </w:t>
      </w:r>
    </w:p>
    <w:p w:rsidR="007B56BF" w:rsidRDefault="007B56BF" w:rsidP="00E42641">
      <w:pPr>
        <w:jc w:val="both"/>
        <w:rPr>
          <w:rFonts w:asciiTheme="minorHAnsi" w:hAnsiTheme="minorHAnsi"/>
          <w:b/>
        </w:rPr>
      </w:pPr>
    </w:p>
    <w:p w:rsidR="007B56BF" w:rsidRPr="007B56BF" w:rsidRDefault="007B56BF" w:rsidP="00E42641">
      <w:pPr>
        <w:jc w:val="both"/>
        <w:rPr>
          <w:rFonts w:asciiTheme="minorHAnsi" w:hAnsiTheme="minorHAnsi"/>
        </w:rPr>
      </w:pPr>
      <w:r w:rsidRPr="007B56BF">
        <w:rPr>
          <w:rFonts w:asciiTheme="minorHAnsi" w:hAnsiTheme="minorHAnsi"/>
        </w:rPr>
        <w:t>David Ondráčka</w:t>
      </w:r>
    </w:p>
    <w:p w:rsidR="007B56BF" w:rsidRPr="007B56BF" w:rsidRDefault="007B56BF" w:rsidP="00E42641">
      <w:pPr>
        <w:jc w:val="both"/>
        <w:rPr>
          <w:rFonts w:asciiTheme="minorHAnsi" w:hAnsiTheme="minorHAnsi"/>
        </w:rPr>
      </w:pPr>
      <w:r w:rsidRPr="007B56BF">
        <w:rPr>
          <w:rFonts w:asciiTheme="minorHAnsi" w:hAnsiTheme="minorHAnsi"/>
        </w:rPr>
        <w:t xml:space="preserve">ředitel </w:t>
      </w:r>
    </w:p>
    <w:p w:rsidR="007B56BF" w:rsidRPr="007B56BF" w:rsidRDefault="007B56BF" w:rsidP="00E42641">
      <w:pPr>
        <w:jc w:val="both"/>
        <w:rPr>
          <w:rFonts w:asciiTheme="minorHAnsi" w:hAnsiTheme="minorHAnsi"/>
        </w:rPr>
      </w:pPr>
      <w:r w:rsidRPr="007B56BF">
        <w:rPr>
          <w:rFonts w:asciiTheme="minorHAnsi" w:hAnsiTheme="minorHAnsi"/>
        </w:rPr>
        <w:t>Transparency International</w:t>
      </w:r>
    </w:p>
    <w:p w:rsidR="007B56BF" w:rsidRPr="007B56BF" w:rsidRDefault="007B56BF" w:rsidP="00E42641">
      <w:pPr>
        <w:jc w:val="both"/>
        <w:rPr>
          <w:rFonts w:asciiTheme="minorHAnsi" w:hAnsiTheme="minorHAnsi"/>
        </w:rPr>
      </w:pPr>
      <w:r w:rsidRPr="007B56BF">
        <w:rPr>
          <w:rFonts w:asciiTheme="minorHAnsi" w:hAnsiTheme="minorHAnsi"/>
        </w:rPr>
        <w:t xml:space="preserve">E-mail: </w:t>
      </w:r>
      <w:hyperlink r:id="rId13" w:history="1">
        <w:r w:rsidRPr="007B56BF">
          <w:rPr>
            <w:rStyle w:val="Hypertextovodkaz"/>
            <w:rFonts w:asciiTheme="minorHAnsi" w:hAnsiTheme="minorHAnsi"/>
            <w:color w:val="0070C0"/>
          </w:rPr>
          <w:t>ondracka@transparency.cz</w:t>
        </w:r>
      </w:hyperlink>
    </w:p>
    <w:p w:rsidR="007B56BF" w:rsidRDefault="007B56BF" w:rsidP="00E42641">
      <w:pPr>
        <w:jc w:val="both"/>
        <w:rPr>
          <w:rFonts w:asciiTheme="minorHAnsi" w:hAnsiTheme="minorHAnsi"/>
        </w:rPr>
      </w:pPr>
      <w:r w:rsidRPr="007B56BF">
        <w:rPr>
          <w:rFonts w:asciiTheme="minorHAnsi" w:hAnsiTheme="minorHAnsi"/>
        </w:rPr>
        <w:t>Mobil: +420 605 814</w:t>
      </w:r>
      <w:r>
        <w:rPr>
          <w:rFonts w:asciiTheme="minorHAnsi" w:hAnsiTheme="minorHAnsi"/>
        </w:rPr>
        <w:t> </w:t>
      </w:r>
      <w:r w:rsidRPr="007B56BF">
        <w:rPr>
          <w:rFonts w:asciiTheme="minorHAnsi" w:hAnsiTheme="minorHAnsi"/>
        </w:rPr>
        <w:t>786</w:t>
      </w:r>
    </w:p>
    <w:p w:rsidR="007B56BF" w:rsidRDefault="007B56BF" w:rsidP="00E42641">
      <w:pPr>
        <w:jc w:val="both"/>
        <w:rPr>
          <w:rFonts w:asciiTheme="minorHAnsi" w:hAnsiTheme="minorHAnsi"/>
        </w:rPr>
      </w:pPr>
    </w:p>
    <w:p w:rsidR="007B56BF" w:rsidRPr="007B56BF" w:rsidRDefault="007B56BF" w:rsidP="00E42641">
      <w:pPr>
        <w:jc w:val="both"/>
        <w:rPr>
          <w:rFonts w:asciiTheme="minorHAnsi" w:hAnsiTheme="minorHAnsi"/>
        </w:rPr>
      </w:pPr>
    </w:p>
    <w:p w:rsidR="007B56BF" w:rsidRPr="007B56BF" w:rsidRDefault="007B56BF" w:rsidP="00E42641">
      <w:pPr>
        <w:jc w:val="both"/>
        <w:rPr>
          <w:rFonts w:asciiTheme="minorHAnsi" w:hAnsiTheme="minorHAnsi"/>
          <w:b/>
          <w:color w:val="808080" w:themeColor="background1" w:themeShade="80"/>
        </w:rPr>
      </w:pPr>
      <w:r w:rsidRPr="007B56BF">
        <w:rPr>
          <w:rFonts w:asciiTheme="minorHAnsi" w:hAnsiTheme="minorHAnsi"/>
          <w:b/>
          <w:color w:val="808080" w:themeColor="background1" w:themeShade="80"/>
        </w:rPr>
        <w:t>Projekt podporuje:</w:t>
      </w:r>
    </w:p>
    <w:p w:rsidR="001451AD" w:rsidRDefault="001451AD" w:rsidP="00E42641">
      <w:pPr>
        <w:jc w:val="both"/>
        <w:rPr>
          <w:rFonts w:asciiTheme="minorHAnsi" w:hAnsiTheme="minorHAnsi"/>
          <w:b/>
        </w:rPr>
      </w:pPr>
    </w:p>
    <w:p w:rsidR="001451AD" w:rsidRPr="00E42641" w:rsidRDefault="001451AD" w:rsidP="00E42641">
      <w:pPr>
        <w:jc w:val="both"/>
        <w:rPr>
          <w:rFonts w:asciiTheme="minorHAnsi" w:hAnsiTheme="minorHAnsi"/>
          <w:b/>
        </w:rPr>
      </w:pPr>
      <w:r w:rsidRPr="001451AD">
        <w:rPr>
          <w:rFonts w:asciiTheme="minorHAnsi" w:hAnsiTheme="minorHAnsi"/>
          <w:b/>
          <w:noProof/>
        </w:rPr>
        <w:drawing>
          <wp:inline distT="0" distB="0" distL="0" distR="0" wp14:anchorId="6A70E2A2" wp14:editId="07B35CDD">
            <wp:extent cx="1930819" cy="934453"/>
            <wp:effectExtent l="0" t="0" r="0" b="0"/>
            <wp:docPr id="4" name="Obrázek 3" descr="\\tisad01.ad.transparency.cz\Plochy$\kotora\logo_motejl_159x80.pn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\\tisad01.ad.transparency.cz\Plochy$\kotora\logo_motejl_159x80.png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19" cy="93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1AD" w:rsidRPr="00E42641">
      <w:headerReference w:type="even" r:id="rId16"/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06" w:rsidRDefault="00A53006" w:rsidP="00A53006">
      <w:r>
        <w:separator/>
      </w:r>
    </w:p>
  </w:endnote>
  <w:endnote w:type="continuationSeparator" w:id="0">
    <w:p w:rsidR="00A53006" w:rsidRDefault="00A53006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proofErr w:type="gramEnd"/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E7484F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proofErr w:type="gramStart"/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proofErr w:type="gramEnd"/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E7484F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A53006" w:rsidRPr="00786744" w:rsidRDefault="002E4134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Transparency International </w:t>
    </w:r>
    <w:r w:rsidR="00C23101" w:rsidRPr="00786744">
      <w:rPr>
        <w:rFonts w:ascii="Oswald" w:hAnsi="Oswald"/>
        <w:color w:val="808080" w:themeColor="background1" w:themeShade="80"/>
        <w:sz w:val="16"/>
        <w:szCs w:val="16"/>
      </w:rPr>
      <w:t xml:space="preserve">-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Česká republika, o. p. s. | Sokolovská 260/143, 180 00 Praha 8, Česká republika | </w:t>
    </w:r>
  </w:p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06" w:rsidRDefault="00A53006" w:rsidP="00A53006">
      <w:r>
        <w:separator/>
      </w:r>
    </w:p>
  </w:footnote>
  <w:footnote w:type="continuationSeparator" w:id="0">
    <w:p w:rsidR="00A53006" w:rsidRDefault="00A53006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BF" w:rsidRDefault="007B56BF">
    <w:pPr>
      <w:pStyle w:val="Zhlav"/>
    </w:pPr>
    <w:r>
      <w:rPr>
        <w:noProof/>
        <w:lang w:eastAsia="cs-CZ"/>
      </w:rPr>
      <w:drawing>
        <wp:inline distT="0" distB="0" distL="0" distR="0">
          <wp:extent cx="1495425" cy="762000"/>
          <wp:effectExtent l="0" t="0" r="9525" b="0"/>
          <wp:docPr id="6" name="Obrázek 6" descr="\\tisad01.ad.transparency.cz\Plochy$\kotora\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isad01.ad.transparency.cz\Plochy$\kotora\F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7B56BF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E4D11B" wp14:editId="4C36AA1C">
          <wp:simplePos x="0" y="0"/>
          <wp:positionH relativeFrom="column">
            <wp:posOffset>4367530</wp:posOffset>
          </wp:positionH>
          <wp:positionV relativeFrom="paragraph">
            <wp:posOffset>-78105</wp:posOffset>
          </wp:positionV>
          <wp:extent cx="1228725" cy="625475"/>
          <wp:effectExtent l="0" t="0" r="9525" b="3175"/>
          <wp:wrapTight wrapText="bothSides">
            <wp:wrapPolygon edited="0">
              <wp:start x="0" y="0"/>
              <wp:lineTo x="0" y="21052"/>
              <wp:lineTo x="21433" y="21052"/>
              <wp:lineTo x="21433" y="0"/>
              <wp:lineTo x="0" y="0"/>
            </wp:wrapPolygon>
          </wp:wrapTight>
          <wp:docPr id="7" name="Obrázek 7" descr="\\tisad01.ad.transparency.cz\Plochy$\kotora\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tisad01.ad.transparency.cz\Plochy$\kotora\F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9579B" wp14:editId="1F22C4CE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615"/>
    <w:multiLevelType w:val="hybridMultilevel"/>
    <w:tmpl w:val="4C5E2F78"/>
    <w:lvl w:ilvl="0" w:tplc="D5CEF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CC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D45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4" w:tplc="D2744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04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A6A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C4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67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83447"/>
    <w:multiLevelType w:val="hybridMultilevel"/>
    <w:tmpl w:val="7DD24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14FD"/>
    <w:multiLevelType w:val="hybridMultilevel"/>
    <w:tmpl w:val="D95E77DC"/>
    <w:lvl w:ilvl="0" w:tplc="D9C27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C40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26C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655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85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80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2FD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AE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0D6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787AD4"/>
    <w:multiLevelType w:val="hybridMultilevel"/>
    <w:tmpl w:val="6E5887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DF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EA7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6C3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4E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CF4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4EF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68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862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B021DB"/>
    <w:multiLevelType w:val="hybridMultilevel"/>
    <w:tmpl w:val="2FB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849AC"/>
    <w:multiLevelType w:val="hybridMultilevel"/>
    <w:tmpl w:val="3F503AB6"/>
    <w:lvl w:ilvl="0" w:tplc="DF9E6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6D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7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7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88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6C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61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8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43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156141"/>
    <w:multiLevelType w:val="hybridMultilevel"/>
    <w:tmpl w:val="99F60954"/>
    <w:lvl w:ilvl="0" w:tplc="3D36D2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56A06"/>
    <w:multiLevelType w:val="hybridMultilevel"/>
    <w:tmpl w:val="6608DBDA"/>
    <w:lvl w:ilvl="0" w:tplc="77AC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CC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3A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5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4" w:tplc="69DC7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0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65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0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4E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F0799C"/>
    <w:multiLevelType w:val="hybridMultilevel"/>
    <w:tmpl w:val="601EC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112D9"/>
    <w:multiLevelType w:val="hybridMultilevel"/>
    <w:tmpl w:val="7BB2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D02B1"/>
    <w:multiLevelType w:val="hybridMultilevel"/>
    <w:tmpl w:val="D7D0D6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C7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E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A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81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05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2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A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F9701D"/>
    <w:multiLevelType w:val="hybridMultilevel"/>
    <w:tmpl w:val="CB1A3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C26AD"/>
    <w:multiLevelType w:val="hybridMultilevel"/>
    <w:tmpl w:val="CE229232"/>
    <w:lvl w:ilvl="0" w:tplc="0C7E9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609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2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C4A9A">
      <w:start w:val="2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A6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855B4">
      <w:start w:val="23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65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EE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802A11"/>
    <w:multiLevelType w:val="hybridMultilevel"/>
    <w:tmpl w:val="1E1EB6DE"/>
    <w:lvl w:ilvl="0" w:tplc="ECD8C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8A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C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5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7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B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E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4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64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3647EE"/>
    <w:multiLevelType w:val="hybridMultilevel"/>
    <w:tmpl w:val="931E65D6"/>
    <w:lvl w:ilvl="0" w:tplc="3D36D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C7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E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A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81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05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2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A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377F35"/>
    <w:multiLevelType w:val="hybridMultilevel"/>
    <w:tmpl w:val="F67E0BE4"/>
    <w:lvl w:ilvl="0" w:tplc="89388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85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0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C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EE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A9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82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A0B36"/>
    <w:multiLevelType w:val="hybridMultilevel"/>
    <w:tmpl w:val="8E1417AC"/>
    <w:lvl w:ilvl="0" w:tplc="3D36D2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  <w:num w:numId="14">
    <w:abstractNumId w:val="17"/>
  </w:num>
  <w:num w:numId="15">
    <w:abstractNumId w:val="9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30551"/>
    <w:rsid w:val="0004030C"/>
    <w:rsid w:val="00075D15"/>
    <w:rsid w:val="000760EA"/>
    <w:rsid w:val="000911EA"/>
    <w:rsid w:val="000B17B4"/>
    <w:rsid w:val="001451AD"/>
    <w:rsid w:val="00176750"/>
    <w:rsid w:val="00182A84"/>
    <w:rsid w:val="001B146E"/>
    <w:rsid w:val="001B71D2"/>
    <w:rsid w:val="00221151"/>
    <w:rsid w:val="00275385"/>
    <w:rsid w:val="002A6A4C"/>
    <w:rsid w:val="002D3BC1"/>
    <w:rsid w:val="002D676F"/>
    <w:rsid w:val="002E2C9A"/>
    <w:rsid w:val="002E4134"/>
    <w:rsid w:val="00320214"/>
    <w:rsid w:val="0039735F"/>
    <w:rsid w:val="003F6F34"/>
    <w:rsid w:val="004005B9"/>
    <w:rsid w:val="00414518"/>
    <w:rsid w:val="00445F84"/>
    <w:rsid w:val="0047451F"/>
    <w:rsid w:val="004A578C"/>
    <w:rsid w:val="0050064F"/>
    <w:rsid w:val="00581030"/>
    <w:rsid w:val="00585C70"/>
    <w:rsid w:val="00590AF9"/>
    <w:rsid w:val="006538FF"/>
    <w:rsid w:val="0066337A"/>
    <w:rsid w:val="00673A46"/>
    <w:rsid w:val="00740073"/>
    <w:rsid w:val="007457A9"/>
    <w:rsid w:val="0074702E"/>
    <w:rsid w:val="007472D9"/>
    <w:rsid w:val="00786744"/>
    <w:rsid w:val="007B56BF"/>
    <w:rsid w:val="007C6326"/>
    <w:rsid w:val="00817E07"/>
    <w:rsid w:val="008550AB"/>
    <w:rsid w:val="008870EF"/>
    <w:rsid w:val="00960D2E"/>
    <w:rsid w:val="00966C16"/>
    <w:rsid w:val="00976879"/>
    <w:rsid w:val="009F0CEF"/>
    <w:rsid w:val="009F7C19"/>
    <w:rsid w:val="00A128BA"/>
    <w:rsid w:val="00A53006"/>
    <w:rsid w:val="00A64C56"/>
    <w:rsid w:val="00AA0B09"/>
    <w:rsid w:val="00B05FCC"/>
    <w:rsid w:val="00B25690"/>
    <w:rsid w:val="00C23101"/>
    <w:rsid w:val="00C51B1A"/>
    <w:rsid w:val="00C8793C"/>
    <w:rsid w:val="00CA72FB"/>
    <w:rsid w:val="00CE17EF"/>
    <w:rsid w:val="00CF2926"/>
    <w:rsid w:val="00DC4019"/>
    <w:rsid w:val="00DD709D"/>
    <w:rsid w:val="00E3338E"/>
    <w:rsid w:val="00E42641"/>
    <w:rsid w:val="00E72D4A"/>
    <w:rsid w:val="00E7484F"/>
    <w:rsid w:val="00EF057A"/>
    <w:rsid w:val="00F5080A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67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67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67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767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767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7675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67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67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67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767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767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7675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ndracka@transparency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ransparency.cz/wp-content/uploads/Financov&#225;n&#237;-politick&#253;ch-stran-2016-Prezentace.ppt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nsparency.cz/wp-content/uploads/Financov&#225;n&#237;-politick&#253;ch-stran-2016-Anal&#253;za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transparentnivolb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tickefinance.cz/" TargetMode="External"/><Relationship Id="rId14" Type="http://schemas.openxmlformats.org/officeDocument/2006/relationships/hyperlink" Target="http://www.motej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17</cp:revision>
  <cp:lastPrinted>2016-02-04T08:01:00Z</cp:lastPrinted>
  <dcterms:created xsi:type="dcterms:W3CDTF">2016-02-03T17:39:00Z</dcterms:created>
  <dcterms:modified xsi:type="dcterms:W3CDTF">2016-02-04T13:41:00Z</dcterms:modified>
</cp:coreProperties>
</file>