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DA" w:rsidRPr="00834BC4" w:rsidRDefault="00123ADA" w:rsidP="00834BC4">
      <w:pPr>
        <w:rPr>
          <w:rFonts w:asciiTheme="minorHAnsi" w:hAnsiTheme="minorHAnsi"/>
        </w:rPr>
      </w:pPr>
    </w:p>
    <w:p w:rsidR="00834BC4" w:rsidRPr="00834BC4" w:rsidRDefault="00834BC4" w:rsidP="00834BC4">
      <w:pPr>
        <w:jc w:val="both"/>
        <w:rPr>
          <w:rFonts w:asciiTheme="minorHAnsi" w:hAnsiTheme="minorHAnsi" w:cs="Calibri"/>
          <w:b/>
          <w:bCs/>
          <w:sz w:val="22"/>
          <w:szCs w:val="22"/>
        </w:rPr>
      </w:pPr>
      <w:r w:rsidRPr="00834BC4">
        <w:rPr>
          <w:rFonts w:asciiTheme="minorHAnsi" w:hAnsiTheme="minorHAnsi" w:cs="Calibri"/>
          <w:b/>
          <w:bCs/>
          <w:sz w:val="22"/>
          <w:szCs w:val="22"/>
        </w:rPr>
        <w:t xml:space="preserve">TISKOVÁ ZPRÁVA TI </w:t>
      </w:r>
    </w:p>
    <w:p w:rsidR="00834BC4" w:rsidRPr="00834BC4" w:rsidRDefault="00834BC4" w:rsidP="00834BC4">
      <w:pPr>
        <w:spacing w:before="200" w:after="280"/>
        <w:ind w:right="26"/>
        <w:jc w:val="both"/>
        <w:rPr>
          <w:rFonts w:asciiTheme="minorHAnsi" w:hAnsiTheme="minorHAnsi" w:cs="Calibri"/>
          <w:b/>
          <w:bCs/>
          <w:color w:val="000000" w:themeColor="text1"/>
          <w:sz w:val="50"/>
          <w:szCs w:val="50"/>
        </w:rPr>
      </w:pPr>
      <w:r w:rsidRPr="00834BC4">
        <w:rPr>
          <w:rFonts w:asciiTheme="minorHAnsi" w:hAnsiTheme="minorHAnsi" w:cs="Calibri"/>
          <w:b/>
          <w:bCs/>
          <w:color w:val="000000" w:themeColor="text1"/>
          <w:sz w:val="50"/>
          <w:szCs w:val="50"/>
        </w:rPr>
        <w:t>Česká republika neudržela pozitivní trend, v žebříčku CPI se propadla o 10 míst</w:t>
      </w:r>
    </w:p>
    <w:p w:rsidR="00834BC4" w:rsidRPr="00834BC4" w:rsidRDefault="00897335" w:rsidP="00834BC4">
      <w:pPr>
        <w:jc w:val="both"/>
        <w:rPr>
          <w:rFonts w:asciiTheme="minorHAnsi" w:hAnsiTheme="minorHAnsi" w:cs="Calibri"/>
          <w:b/>
          <w:bCs/>
        </w:rPr>
      </w:pPr>
      <w:r>
        <w:rPr>
          <w:rFonts w:asciiTheme="minorHAnsi" w:hAnsiTheme="minorHAnsi" w:cs="Calibri"/>
          <w:b/>
          <w:bCs/>
          <w:noProof/>
        </w:rPr>
        <w:drawing>
          <wp:inline distT="0" distB="0" distL="0" distR="0">
            <wp:extent cx="5762625" cy="4029075"/>
            <wp:effectExtent l="0" t="0" r="9525" b="9525"/>
            <wp:docPr id="2" name="Obrázek 2" descr="\\tisad01.ad.transparency.cz\Plochy$\kotora\CPI 2016 - Česká republika Infografika.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sad01.ad.transparency.cz\Plochy$\kotora\CPI 2016 - Česká republika Infografik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4029075"/>
                    </a:xfrm>
                    <a:prstGeom prst="rect">
                      <a:avLst/>
                    </a:prstGeom>
                    <a:noFill/>
                    <a:ln>
                      <a:noFill/>
                    </a:ln>
                  </pic:spPr>
                </pic:pic>
              </a:graphicData>
            </a:graphic>
          </wp:inline>
        </w:drawing>
      </w:r>
    </w:p>
    <w:p w:rsidR="00834BC4" w:rsidRPr="00834BC4" w:rsidRDefault="00E62AC2" w:rsidP="00834BC4">
      <w:pPr>
        <w:spacing w:before="100" w:beforeAutospacing="1" w:after="100" w:afterAutospacing="1" w:line="360" w:lineRule="atLeast"/>
        <w:jc w:val="both"/>
        <w:outlineLvl w:val="3"/>
        <w:rPr>
          <w:rFonts w:asciiTheme="minorHAnsi" w:hAnsiTheme="minorHAnsi" w:cs="Calibri"/>
          <w:b/>
          <w:bCs/>
          <w:color w:val="A6A6A6"/>
        </w:rPr>
      </w:pPr>
      <w:hyperlink r:id="rId10" w:history="1">
        <w:r w:rsidR="00834BC4" w:rsidRPr="00834BC4">
          <w:rPr>
            <w:rStyle w:val="Hypertextovodkaz"/>
            <w:rFonts w:asciiTheme="minorHAnsi" w:hAnsiTheme="minorHAnsi" w:cs="Calibri"/>
            <w:b/>
            <w:bCs/>
            <w:color w:val="A6A6A6"/>
            <w:vertAlign w:val="superscript"/>
          </w:rPr>
          <w:t>"Index vnímání korupce 2016"</w:t>
        </w:r>
      </w:hyperlink>
      <w:r w:rsidR="00834BC4" w:rsidRPr="00834BC4">
        <w:rPr>
          <w:rFonts w:asciiTheme="minorHAnsi" w:hAnsiTheme="minorHAnsi" w:cs="Calibri"/>
          <w:b/>
          <w:bCs/>
          <w:color w:val="A6A6A6"/>
          <w:vertAlign w:val="superscript"/>
        </w:rPr>
        <w:t xml:space="preserve"> (Corruption Perceptions Index, CPI) | zdroj: TI</w:t>
      </w:r>
    </w:p>
    <w:p w:rsidR="00834BC4" w:rsidRPr="00834BC4" w:rsidRDefault="00834BC4" w:rsidP="00834BC4">
      <w:pPr>
        <w:jc w:val="both"/>
        <w:rPr>
          <w:rFonts w:asciiTheme="minorHAnsi" w:hAnsiTheme="minorHAnsi" w:cs="Calibri"/>
          <w:b/>
          <w:bCs/>
        </w:rPr>
      </w:pPr>
      <w:r w:rsidRPr="00834BC4">
        <w:rPr>
          <w:rFonts w:asciiTheme="minorHAnsi" w:hAnsiTheme="minorHAnsi" w:cs="Calibri"/>
          <w:b/>
          <w:bCs/>
        </w:rPr>
        <w:t>Praha, 25. ledna 2017 – Mezinárodní sekretariát Transparency International dnes zveřejnil „Index vnímání korupce za rok 2016“ (CPI 2016). Česká republika se v hodnocení výrazně propadla a po loňském skoku na 37. místo ve světě se vrátila o 10 míst zpátky - na sdílenou 47. příčku. Náš index dosáhl hodnoty 55 bodů (ze sta možných), shodně s Kyprem a Maltou. K evropskému průměru (65 bodů) však má stále daleko.</w:t>
      </w:r>
    </w:p>
    <w:p w:rsidR="00834BC4" w:rsidRPr="00834BC4" w:rsidRDefault="00834BC4" w:rsidP="00834BC4">
      <w:pPr>
        <w:jc w:val="both"/>
        <w:rPr>
          <w:rFonts w:asciiTheme="minorHAnsi" w:hAnsiTheme="minorHAnsi" w:cs="Calibri"/>
          <w:b/>
          <w:bCs/>
        </w:rPr>
      </w:pPr>
    </w:p>
    <w:p w:rsidR="00834BC4" w:rsidRPr="00834BC4" w:rsidRDefault="00834BC4" w:rsidP="00834BC4">
      <w:pPr>
        <w:jc w:val="both"/>
        <w:rPr>
          <w:rFonts w:asciiTheme="minorHAnsi" w:hAnsiTheme="minorHAnsi" w:cs="Calibri"/>
        </w:rPr>
      </w:pPr>
      <w:r w:rsidRPr="00834BC4">
        <w:rPr>
          <w:rFonts w:asciiTheme="minorHAnsi" w:hAnsiTheme="minorHAnsi" w:cs="Calibri"/>
        </w:rPr>
        <w:t>Celosvětově v čele žebříčku Indexu vnímání korupce nadále zůstávají severské země a Nový Zéland. První příčku sdílí Dánsko a Nový Zéland s 90 body, Finsko a Švédsko ztratily proti loňskému roku jeden bod a zařadily se na další pozice. První pětici doplňuje Švýcarsko (86 bodů). Opačnou stranu žebříčku uzavírají Severní Korea, Jižní Súdán a Somálsko.</w:t>
      </w:r>
    </w:p>
    <w:p w:rsidR="00834BC4" w:rsidRPr="00834BC4" w:rsidRDefault="00834BC4" w:rsidP="00834BC4">
      <w:pPr>
        <w:jc w:val="both"/>
        <w:rPr>
          <w:rFonts w:asciiTheme="minorHAnsi" w:hAnsiTheme="minorHAnsi" w:cs="Calibri"/>
        </w:rPr>
      </w:pPr>
    </w:p>
    <w:p w:rsidR="00834BC4" w:rsidRPr="00834BC4" w:rsidRDefault="00834BC4" w:rsidP="00834BC4">
      <w:pPr>
        <w:jc w:val="both"/>
        <w:rPr>
          <w:rFonts w:asciiTheme="minorHAnsi" w:hAnsiTheme="minorHAnsi" w:cs="Calibri"/>
        </w:rPr>
      </w:pPr>
      <w:r w:rsidRPr="00834BC4">
        <w:rPr>
          <w:rFonts w:asciiTheme="minorHAnsi" w:hAnsiTheme="minorHAnsi" w:cs="Calibri"/>
          <w:b/>
        </w:rPr>
        <w:t>Ve</w:t>
      </w:r>
      <w:r w:rsidRPr="00834BC4">
        <w:rPr>
          <w:rFonts w:asciiTheme="minorHAnsi" w:hAnsiTheme="minorHAnsi" w:cs="Calibri"/>
        </w:rPr>
        <w:t xml:space="preserve"> </w:t>
      </w:r>
      <w:r w:rsidRPr="00834BC4">
        <w:rPr>
          <w:rFonts w:asciiTheme="minorHAnsi" w:hAnsiTheme="minorHAnsi" w:cs="Calibri"/>
          <w:b/>
        </w:rPr>
        <w:t>srovnání s členskými</w:t>
      </w:r>
      <w:r w:rsidRPr="00834BC4">
        <w:rPr>
          <w:rFonts w:asciiTheme="minorHAnsi" w:hAnsiTheme="minorHAnsi" w:cs="Calibri"/>
        </w:rPr>
        <w:t xml:space="preserve"> </w:t>
      </w:r>
      <w:r w:rsidRPr="00834BC4">
        <w:rPr>
          <w:rFonts w:asciiTheme="minorHAnsi" w:hAnsiTheme="minorHAnsi" w:cs="Calibri"/>
          <w:b/>
          <w:bCs/>
        </w:rPr>
        <w:t xml:space="preserve">zeměmi Evropské unie si ČR nepatrně polepšila: na </w:t>
      </w:r>
      <w:r w:rsidR="00C53C42">
        <w:rPr>
          <w:rFonts w:asciiTheme="minorHAnsi" w:hAnsiTheme="minorHAnsi" w:cs="Calibri"/>
          <w:b/>
          <w:bCs/>
        </w:rPr>
        <w:t>sdílenou 19</w:t>
      </w:r>
      <w:r w:rsidRPr="00834BC4">
        <w:rPr>
          <w:rFonts w:asciiTheme="minorHAnsi" w:hAnsiTheme="minorHAnsi" w:cs="Calibri"/>
          <w:b/>
          <w:bCs/>
        </w:rPr>
        <w:t>. pozici</w:t>
      </w:r>
      <w:r w:rsidRPr="00834BC4">
        <w:rPr>
          <w:rFonts w:asciiTheme="minorHAnsi" w:hAnsiTheme="minorHAnsi" w:cs="Calibri"/>
        </w:rPr>
        <w:t xml:space="preserve">. Ve středu žebříčku se drží pobaltské státy (11., 16. a 18. místo), nebo například </w:t>
      </w:r>
      <w:r w:rsidRPr="00834BC4">
        <w:rPr>
          <w:rFonts w:asciiTheme="minorHAnsi" w:hAnsiTheme="minorHAnsi" w:cs="Calibri"/>
        </w:rPr>
        <w:lastRenderedPageBreak/>
        <w:t>sousední Polsko (13. příčka, 62 bodů), Slovensko je na 22. místě s 51 body. Na chvostu Evropy zůstávají Itálie (47 bodů), úplně poslední příčky obsazují Řecko (44 bodů) a Bulharsko (41 bodů).</w:t>
      </w:r>
    </w:p>
    <w:p w:rsidR="00834BC4" w:rsidRPr="00834BC4" w:rsidRDefault="00834BC4" w:rsidP="00834BC4">
      <w:pPr>
        <w:jc w:val="both"/>
        <w:rPr>
          <w:rFonts w:asciiTheme="minorHAnsi" w:hAnsiTheme="minorHAnsi" w:cs="Calibri"/>
        </w:rPr>
      </w:pPr>
    </w:p>
    <w:p w:rsidR="00834BC4" w:rsidRPr="00834BC4" w:rsidRDefault="00834BC4" w:rsidP="00834BC4">
      <w:pPr>
        <w:jc w:val="both"/>
        <w:rPr>
          <w:rFonts w:asciiTheme="minorHAnsi" w:hAnsiTheme="minorHAnsi" w:cs="Calibri"/>
        </w:rPr>
      </w:pPr>
      <w:r w:rsidRPr="00834BC4">
        <w:rPr>
          <w:rFonts w:asciiTheme="minorHAnsi" w:hAnsiTheme="minorHAnsi" w:cs="Calibri"/>
          <w:b/>
        </w:rPr>
        <w:t>„V nejnovějším indexu vnímání korupce (CPI) upozorňuji právě na P - perceptions, vnímání. České republice se ještě nepodařilo "prodat" například nový zákon o povinném zveřejňování smluv. Je to velký krok k férovosti a otevřenosti, ale zatím dostatečně nevstoupil do obecného povědomí,“</w:t>
      </w:r>
      <w:r w:rsidRPr="00834BC4">
        <w:rPr>
          <w:rFonts w:asciiTheme="minorHAnsi" w:hAnsiTheme="minorHAnsi" w:cs="Calibri"/>
        </w:rPr>
        <w:t xml:space="preserve"> dodává k indexu Tomáš Němeček, právník, novinář a člen Správní rady</w:t>
      </w:r>
      <w:r w:rsidR="007558D4">
        <w:rPr>
          <w:rFonts w:asciiTheme="minorHAnsi" w:hAnsiTheme="minorHAnsi" w:cs="Calibri"/>
        </w:rPr>
        <w:t xml:space="preserve"> Transparency International ČR</w:t>
      </w:r>
      <w:r w:rsidRPr="00834BC4">
        <w:rPr>
          <w:rFonts w:asciiTheme="minorHAnsi" w:hAnsiTheme="minorHAnsi" w:cs="Calibri"/>
        </w:rPr>
        <w:t>.</w:t>
      </w:r>
    </w:p>
    <w:p w:rsidR="00834BC4" w:rsidRPr="00834BC4" w:rsidRDefault="00834BC4" w:rsidP="00834BC4">
      <w:pPr>
        <w:jc w:val="both"/>
        <w:rPr>
          <w:rFonts w:asciiTheme="minorHAnsi" w:hAnsiTheme="minorHAnsi" w:cs="Calibri"/>
        </w:rPr>
      </w:pPr>
    </w:p>
    <w:p w:rsidR="00834BC4" w:rsidRPr="00834BC4" w:rsidRDefault="00834BC4" w:rsidP="00834BC4">
      <w:pPr>
        <w:jc w:val="both"/>
        <w:rPr>
          <w:rFonts w:asciiTheme="minorHAnsi" w:hAnsiTheme="minorHAnsi" w:cs="Calibri"/>
        </w:rPr>
      </w:pPr>
      <w:r w:rsidRPr="00834BC4">
        <w:rPr>
          <w:rFonts w:asciiTheme="minorHAnsi" w:hAnsiTheme="minorHAnsi" w:cs="Calibri"/>
        </w:rPr>
        <w:t xml:space="preserve">Jestliže v roce 2014 zlepšení o 3 body představovalo posunutí o 4 místa v žebříčku, v roce 2015 zlepšení dokonce akcelerovalo na 5 bodů a významných 16 příček „vzhůru“. Letos ČR ztratila oproti loňskému výsledku pouze bod, avšak v konečném hodnocení se propadla o 10 příček. Přesto nepatří k největším propadlíkům. Nejvíce bodů v hodnocení ztratil Katar (10 bodů), přičemž mezi zeměmi s nejvýraznější ztrátou převažují právě blízkovýchodní státy. Naopak mezi skokany roku patří Surinam, Bělorusko a Východní Timor. </w:t>
      </w:r>
    </w:p>
    <w:p w:rsidR="00834BC4" w:rsidRPr="00834BC4" w:rsidRDefault="00834BC4" w:rsidP="00834BC4">
      <w:pPr>
        <w:pStyle w:val="Normlnweb"/>
        <w:jc w:val="both"/>
        <w:rPr>
          <w:rFonts w:asciiTheme="minorHAnsi" w:hAnsiTheme="minorHAnsi" w:cs="Calibri"/>
        </w:rPr>
      </w:pPr>
      <w:r w:rsidRPr="00834BC4">
        <w:rPr>
          <w:rFonts w:asciiTheme="minorHAnsi" w:hAnsiTheme="minorHAnsi" w:cs="Calibri"/>
          <w:b/>
          <w:iCs/>
        </w:rPr>
        <w:t>„TI se snaží o racionální diskurz nad korupcí, principiální, ale bez hysterie. Z našeho pohledu je klíčové udržet funkční, nezávislé instituce a základní pravidla demokratického provozu. Objektivně vzato, řada věcí se kultivuje, ale korupce nezmizela, jen probíhá sofistikovaně a v rukavičkách. Vlivné zájmové skupiny už nepotřebují porušovat zákon, spíš prosadí jeho změnu a svou činnost tím legalizují,</w:t>
      </w:r>
      <w:r w:rsidRPr="00834BC4">
        <w:rPr>
          <w:rStyle w:val="Zvraznn"/>
          <w:rFonts w:asciiTheme="minorHAnsi" w:hAnsiTheme="minorHAnsi"/>
          <w:b/>
          <w:bCs/>
        </w:rPr>
        <w:t xml:space="preserve">“ </w:t>
      </w:r>
      <w:r w:rsidRPr="00834BC4">
        <w:rPr>
          <w:rFonts w:asciiTheme="minorHAnsi" w:hAnsiTheme="minorHAnsi" w:cs="Calibri"/>
        </w:rPr>
        <w:t xml:space="preserve">říká David Ondráčka, ředitel Transparency International ČR. </w:t>
      </w:r>
    </w:p>
    <w:p w:rsidR="00834BC4" w:rsidRPr="00834BC4" w:rsidRDefault="00834BC4" w:rsidP="00834BC4">
      <w:pPr>
        <w:jc w:val="both"/>
        <w:rPr>
          <w:rFonts w:asciiTheme="minorHAnsi" w:hAnsiTheme="minorHAnsi" w:cs="Calibri"/>
          <w:b/>
          <w:bCs/>
        </w:rPr>
      </w:pPr>
      <w:r w:rsidRPr="00834BC4">
        <w:rPr>
          <w:rFonts w:asciiTheme="minorHAnsi" w:hAnsiTheme="minorHAnsi" w:cs="Calibri"/>
          <w:b/>
          <w:bCs/>
        </w:rPr>
        <w:t>Jaké jsou hlavní příčiny letošního propadu?</w:t>
      </w:r>
    </w:p>
    <w:p w:rsidR="00834BC4" w:rsidRPr="00834BC4" w:rsidRDefault="00834BC4" w:rsidP="00834BC4">
      <w:pPr>
        <w:jc w:val="both"/>
        <w:rPr>
          <w:rFonts w:asciiTheme="minorHAnsi" w:hAnsiTheme="minorHAnsi" w:cs="Calibri"/>
        </w:rPr>
      </w:pPr>
    </w:p>
    <w:p w:rsidR="00834BC4" w:rsidRPr="00834BC4" w:rsidRDefault="00834BC4" w:rsidP="00834BC4">
      <w:pPr>
        <w:jc w:val="both"/>
        <w:rPr>
          <w:rFonts w:asciiTheme="minorHAnsi" w:hAnsiTheme="minorHAnsi" w:cs="Calibri"/>
        </w:rPr>
      </w:pPr>
      <w:r w:rsidRPr="00834BC4">
        <w:rPr>
          <w:rFonts w:asciiTheme="minorHAnsi" w:hAnsiTheme="minorHAnsi" w:cs="Calibri"/>
          <w:b/>
          <w:bCs/>
        </w:rPr>
        <w:t>Z žebříčku je patrné, že trend nastavený ještě předchozí vládou se nedaří dlouhodobě udržet. Od lobbisticko-klientelistických sítí, které se dařilo v minulých letech rozbíjet, se korupční snahy přesunuly do nejvyšších pater politiky. Boj různých mocenských skupin pak ztělesňuje legislativa. Potřebné zákony buď nejsou přijímány vůbec, nebo ve velmi okleš</w:t>
      </w:r>
      <w:r w:rsidR="00B3007C">
        <w:rPr>
          <w:rFonts w:asciiTheme="minorHAnsi" w:hAnsiTheme="minorHAnsi" w:cs="Calibri"/>
          <w:b/>
          <w:bCs/>
        </w:rPr>
        <w:t>těné podobě, případně vázne jejich</w:t>
      </w:r>
      <w:r w:rsidRPr="00834BC4">
        <w:rPr>
          <w:rFonts w:asciiTheme="minorHAnsi" w:hAnsiTheme="minorHAnsi" w:cs="Calibri"/>
          <w:b/>
          <w:bCs/>
        </w:rPr>
        <w:t xml:space="preserve"> aplikace. Svou roli pak sehrály i některé korupční kauzy, které trvají roky a </w:t>
      </w:r>
      <w:r w:rsidRPr="00834BC4">
        <w:rPr>
          <w:rFonts w:asciiTheme="minorHAnsi" w:hAnsiTheme="minorHAnsi" w:cs="Calibri"/>
          <w:b/>
          <w:bCs/>
          <w:color w:val="000000" w:themeColor="text1"/>
        </w:rPr>
        <w:t xml:space="preserve">očekávání laické i odborné veřejnosti v jejich dohledné </w:t>
      </w:r>
      <w:proofErr w:type="gramStart"/>
      <w:r w:rsidRPr="00834BC4">
        <w:rPr>
          <w:rFonts w:asciiTheme="minorHAnsi" w:hAnsiTheme="minorHAnsi" w:cs="Calibri"/>
          <w:b/>
          <w:bCs/>
          <w:color w:val="000000" w:themeColor="text1"/>
        </w:rPr>
        <w:t>dořešení</w:t>
      </w:r>
      <w:proofErr w:type="gramEnd"/>
      <w:r w:rsidRPr="00834BC4">
        <w:rPr>
          <w:rFonts w:asciiTheme="minorHAnsi" w:hAnsiTheme="minorHAnsi" w:cs="Calibri"/>
          <w:b/>
          <w:bCs/>
          <w:color w:val="000000" w:themeColor="text1"/>
        </w:rPr>
        <w:t xml:space="preserve"> v řízení před soudem nejsou naplněna. </w:t>
      </w:r>
      <w:r w:rsidRPr="00834BC4">
        <w:rPr>
          <w:rFonts w:asciiTheme="minorHAnsi" w:hAnsiTheme="minorHAnsi" w:cs="Calibri"/>
          <w:bCs/>
          <w:color w:val="000000" w:themeColor="text1"/>
        </w:rPr>
        <w:t>Lze to ukázat na třech problémových okruzích:</w:t>
      </w:r>
    </w:p>
    <w:p w:rsidR="00834BC4" w:rsidRPr="00834BC4" w:rsidRDefault="00834BC4" w:rsidP="00834BC4">
      <w:pPr>
        <w:jc w:val="both"/>
        <w:rPr>
          <w:rFonts w:asciiTheme="minorHAnsi" w:hAnsiTheme="minorHAnsi" w:cs="Calibri"/>
          <w:highlight w:val="yellow"/>
        </w:rPr>
      </w:pPr>
    </w:p>
    <w:p w:rsidR="00834BC4" w:rsidRPr="00834BC4" w:rsidRDefault="00834BC4" w:rsidP="00834BC4">
      <w:pPr>
        <w:pStyle w:val="Odstavecseseznamem"/>
        <w:numPr>
          <w:ilvl w:val="0"/>
          <w:numId w:val="2"/>
        </w:numPr>
        <w:contextualSpacing w:val="0"/>
        <w:jc w:val="both"/>
        <w:rPr>
          <w:b/>
          <w:bCs/>
        </w:rPr>
      </w:pPr>
      <w:r w:rsidRPr="00834BC4">
        <w:rPr>
          <w:b/>
          <w:bCs/>
        </w:rPr>
        <w:t>Snahy o privatizaci veřejného zájmu</w:t>
      </w:r>
    </w:p>
    <w:p w:rsidR="00834BC4" w:rsidRPr="00834BC4" w:rsidRDefault="00834BC4" w:rsidP="00834BC4">
      <w:pPr>
        <w:jc w:val="both"/>
        <w:rPr>
          <w:rFonts w:asciiTheme="minorHAnsi" w:hAnsiTheme="minorHAnsi" w:cs="Calibri"/>
        </w:rPr>
      </w:pPr>
      <w:r w:rsidRPr="00834BC4">
        <w:rPr>
          <w:rFonts w:asciiTheme="minorHAnsi" w:hAnsiTheme="minorHAnsi" w:cs="Calibri"/>
        </w:rPr>
        <w:t>Výrazný propad odráží proměny korupčních problémů. Od jednotlivých korupčních kauz (předražené zakázky, dotační skandály apod.) se pozornost vlivových skupin přesouvá k přenastavování distribuce moci. Primárním tématem se tak stává velká korupce v podobě „</w:t>
      </w:r>
      <w:proofErr w:type="spellStart"/>
      <w:r w:rsidRPr="00834BC4">
        <w:rPr>
          <w:rFonts w:asciiTheme="minorHAnsi" w:hAnsiTheme="minorHAnsi" w:cs="Calibri"/>
        </w:rPr>
        <w:t>state</w:t>
      </w:r>
      <w:proofErr w:type="spellEnd"/>
      <w:r w:rsidRPr="00834BC4">
        <w:rPr>
          <w:rFonts w:asciiTheme="minorHAnsi" w:hAnsiTheme="minorHAnsi" w:cs="Calibri"/>
        </w:rPr>
        <w:t xml:space="preserve"> </w:t>
      </w:r>
      <w:proofErr w:type="spellStart"/>
      <w:r w:rsidRPr="00834BC4">
        <w:rPr>
          <w:rFonts w:asciiTheme="minorHAnsi" w:hAnsiTheme="minorHAnsi" w:cs="Calibri"/>
        </w:rPr>
        <w:t>capture</w:t>
      </w:r>
      <w:proofErr w:type="spellEnd"/>
      <w:r w:rsidRPr="00834BC4">
        <w:rPr>
          <w:rFonts w:asciiTheme="minorHAnsi" w:hAnsiTheme="minorHAnsi" w:cs="Calibri"/>
        </w:rPr>
        <w:t>“ (privatizace veřejného zájmu, převzetí státu), kdy na jedné straně stojí především podnikatelsko-politické impérium a na té druhé tradiční strana podporovaná mocnými lobbisty ze zákulisí. Všichni hráči se pak snaží své pozice potvrzovat nikoliv cestou nelegální, ale naopak legálním nastavením podmínek tak, aby zvýhodňovaly pouze určitou vlivovou skupinu. Příkladem podobného střetu v ČR může být policejní reorganizace, kdy evidentně ani jedné skupině nešlo o lepší fungování policie, ale spíš o získání klíčových útvarů pod vlastní kontrolu.</w:t>
      </w:r>
    </w:p>
    <w:p w:rsidR="00834BC4" w:rsidRPr="00834BC4" w:rsidRDefault="00834BC4" w:rsidP="00834BC4">
      <w:pPr>
        <w:jc w:val="both"/>
        <w:rPr>
          <w:rFonts w:asciiTheme="minorHAnsi" w:hAnsiTheme="minorHAnsi" w:cs="Calibri"/>
        </w:rPr>
      </w:pPr>
    </w:p>
    <w:p w:rsidR="00834BC4" w:rsidRPr="00834BC4" w:rsidRDefault="00834BC4" w:rsidP="00834BC4">
      <w:pPr>
        <w:pStyle w:val="Odstavecseseznamem"/>
        <w:numPr>
          <w:ilvl w:val="0"/>
          <w:numId w:val="2"/>
        </w:numPr>
        <w:contextualSpacing w:val="0"/>
        <w:jc w:val="both"/>
        <w:rPr>
          <w:b/>
          <w:bCs/>
        </w:rPr>
      </w:pPr>
      <w:r w:rsidRPr="00834BC4">
        <w:rPr>
          <w:b/>
          <w:bCs/>
        </w:rPr>
        <w:lastRenderedPageBreak/>
        <w:t>Legislativní tápání</w:t>
      </w:r>
    </w:p>
    <w:p w:rsidR="00834BC4" w:rsidRPr="00834BC4" w:rsidRDefault="00834BC4" w:rsidP="00834BC4">
      <w:pPr>
        <w:jc w:val="both"/>
        <w:rPr>
          <w:rFonts w:asciiTheme="minorHAnsi" w:hAnsiTheme="minorHAnsi" w:cs="Calibri"/>
        </w:rPr>
      </w:pPr>
      <w:r w:rsidRPr="00834BC4">
        <w:rPr>
          <w:rFonts w:asciiTheme="minorHAnsi" w:hAnsiTheme="minorHAnsi" w:cs="Calibri"/>
        </w:rPr>
        <w:t>Přestože politicko-rétorický diskurz se stále nese v duchu protikorupčních opatření, faktická kvalitní legislativní činnost na něj nenavazuje. Zákony vznikají za velkých mediálních bouří. Přijaté normy jsou pak nekvalitní a následně neplní původní zamýšlenou funkci kvůli špatné či neefektivní implementaci. Některé dlouho diskutované normy navíc stále nebyly schváleny a čekají v legislativním procesu. Máme tu tedy:</w:t>
      </w:r>
    </w:p>
    <w:p w:rsidR="00834BC4" w:rsidRPr="00834BC4" w:rsidRDefault="00834BC4" w:rsidP="00834BC4">
      <w:pPr>
        <w:jc w:val="both"/>
        <w:rPr>
          <w:rFonts w:asciiTheme="minorHAnsi" w:hAnsiTheme="minorHAnsi" w:cs="Calibri"/>
        </w:rPr>
      </w:pPr>
    </w:p>
    <w:p w:rsidR="00834BC4" w:rsidRPr="00834BC4" w:rsidRDefault="00834BC4" w:rsidP="00834BC4">
      <w:pPr>
        <w:pStyle w:val="Odstavecseseznamem"/>
        <w:numPr>
          <w:ilvl w:val="0"/>
          <w:numId w:val="3"/>
        </w:numPr>
        <w:contextualSpacing w:val="0"/>
        <w:jc w:val="both"/>
      </w:pPr>
      <w:r w:rsidRPr="00834BC4">
        <w:t>nepřijaté zákony – zákony o whistleblowingu, o rozšíření pravomocí NKÚ, o teritorialitě exekutorů</w:t>
      </w:r>
      <w:r w:rsidR="00B3007C">
        <w:t>,</w:t>
      </w:r>
    </w:p>
    <w:p w:rsidR="00834BC4" w:rsidRPr="00834BC4" w:rsidRDefault="00834BC4" w:rsidP="00834BC4">
      <w:pPr>
        <w:pStyle w:val="Odstavecseseznamem"/>
        <w:numPr>
          <w:ilvl w:val="0"/>
          <w:numId w:val="3"/>
        </w:numPr>
        <w:contextualSpacing w:val="0"/>
        <w:jc w:val="both"/>
        <w:rPr>
          <w:rFonts w:cs="Times New Roman"/>
        </w:rPr>
      </w:pPr>
      <w:r w:rsidRPr="00834BC4">
        <w:t xml:space="preserve">zákony přijaté v nedokonalé či nevyhovující podobě – </w:t>
      </w:r>
      <w:r w:rsidR="00922A58">
        <w:t xml:space="preserve">zákony </w:t>
      </w:r>
      <w:r w:rsidRPr="00834BC4">
        <w:t>o registru konečných vlastníků, o střetu zájmů, o financování politických stran, o loteriích,</w:t>
      </w:r>
    </w:p>
    <w:p w:rsidR="00834BC4" w:rsidRPr="00834BC4" w:rsidRDefault="00834BC4" w:rsidP="00834BC4">
      <w:pPr>
        <w:pStyle w:val="Odstavecseseznamem"/>
        <w:numPr>
          <w:ilvl w:val="0"/>
          <w:numId w:val="3"/>
        </w:numPr>
        <w:contextualSpacing w:val="0"/>
        <w:jc w:val="both"/>
      </w:pPr>
      <w:r w:rsidRPr="00834BC4">
        <w:t>zákony s problematickou implementací – zákon</w:t>
      </w:r>
      <w:r w:rsidR="00922A58">
        <w:t>y</w:t>
      </w:r>
      <w:r w:rsidRPr="00834BC4">
        <w:t xml:space="preserve"> o</w:t>
      </w:r>
      <w:r w:rsidR="00922A58">
        <w:t xml:space="preserve"> státní službě, </w:t>
      </w:r>
      <w:r w:rsidR="00922A58" w:rsidRPr="00834BC4">
        <w:t>o registru smluv</w:t>
      </w:r>
    </w:p>
    <w:p w:rsidR="00834BC4" w:rsidRPr="00834BC4" w:rsidRDefault="00834BC4" w:rsidP="00834BC4">
      <w:pPr>
        <w:jc w:val="both"/>
        <w:rPr>
          <w:rFonts w:asciiTheme="minorHAnsi" w:hAnsiTheme="minorHAnsi" w:cs="Calibri"/>
          <w:b/>
          <w:bCs/>
        </w:rPr>
      </w:pPr>
    </w:p>
    <w:p w:rsidR="00834BC4" w:rsidRPr="00834BC4" w:rsidRDefault="00834BC4" w:rsidP="00834BC4">
      <w:pPr>
        <w:pStyle w:val="Odstavecseseznamem"/>
        <w:numPr>
          <w:ilvl w:val="0"/>
          <w:numId w:val="2"/>
        </w:numPr>
        <w:contextualSpacing w:val="0"/>
        <w:jc w:val="both"/>
        <w:rPr>
          <w:b/>
          <w:bCs/>
        </w:rPr>
      </w:pPr>
      <w:r w:rsidRPr="00834BC4">
        <w:rPr>
          <w:b/>
          <w:bCs/>
        </w:rPr>
        <w:t>Nedořešené kauzy</w:t>
      </w:r>
    </w:p>
    <w:p w:rsidR="00834BC4" w:rsidRPr="00834BC4" w:rsidRDefault="00834BC4" w:rsidP="00834BC4">
      <w:pPr>
        <w:jc w:val="both"/>
        <w:rPr>
          <w:rFonts w:asciiTheme="minorHAnsi" w:hAnsiTheme="minorHAnsi" w:cs="Calibri"/>
          <w:color w:val="000000" w:themeColor="text1"/>
        </w:rPr>
      </w:pPr>
      <w:r w:rsidRPr="00834BC4">
        <w:rPr>
          <w:rFonts w:asciiTheme="minorHAnsi" w:hAnsiTheme="minorHAnsi" w:cs="Calibri"/>
        </w:rPr>
        <w:t xml:space="preserve">Významné korupční kauzy se nepodařilo </w:t>
      </w:r>
      <w:r w:rsidRPr="00834BC4">
        <w:rPr>
          <w:rFonts w:asciiTheme="minorHAnsi" w:hAnsiTheme="minorHAnsi" w:cs="Calibri"/>
          <w:bCs/>
          <w:color w:val="000000" w:themeColor="text1"/>
        </w:rPr>
        <w:t>soudům</w:t>
      </w:r>
      <w:r w:rsidRPr="00834BC4">
        <w:rPr>
          <w:rFonts w:asciiTheme="minorHAnsi" w:hAnsiTheme="minorHAnsi" w:cs="Calibri"/>
          <w:color w:val="000000" w:themeColor="text1"/>
        </w:rPr>
        <w:t xml:space="preserve"> rychle uzavřít a zůstávají ve stádiu běžícího procesu, především v odvolacích řízeních. Očekávání vytvořená na začátku kauz (jež </w:t>
      </w:r>
      <w:proofErr w:type="gramStart"/>
      <w:r w:rsidRPr="00834BC4">
        <w:rPr>
          <w:rFonts w:asciiTheme="minorHAnsi" w:hAnsiTheme="minorHAnsi" w:cs="Calibri"/>
          <w:color w:val="000000" w:themeColor="text1"/>
        </w:rPr>
        <w:t>přispěla</w:t>
      </w:r>
      <w:proofErr w:type="gramEnd"/>
      <w:r w:rsidRPr="00834BC4">
        <w:rPr>
          <w:rFonts w:asciiTheme="minorHAnsi" w:hAnsiTheme="minorHAnsi" w:cs="Calibri"/>
          <w:color w:val="000000" w:themeColor="text1"/>
        </w:rPr>
        <w:t xml:space="preserve"> k vylepšení </w:t>
      </w:r>
      <w:proofErr w:type="gramStart"/>
      <w:r w:rsidRPr="00834BC4">
        <w:rPr>
          <w:rFonts w:asciiTheme="minorHAnsi" w:hAnsiTheme="minorHAnsi" w:cs="Calibri"/>
          <w:color w:val="000000" w:themeColor="text1"/>
        </w:rPr>
        <w:t>CPI</w:t>
      </w:r>
      <w:proofErr w:type="gramEnd"/>
      <w:r w:rsidRPr="00834BC4">
        <w:rPr>
          <w:rFonts w:asciiTheme="minorHAnsi" w:hAnsiTheme="minorHAnsi" w:cs="Calibri"/>
          <w:color w:val="000000" w:themeColor="text1"/>
        </w:rPr>
        <w:t xml:space="preserve"> 2014/15) </w:t>
      </w:r>
      <w:r w:rsidRPr="00834BC4">
        <w:rPr>
          <w:rFonts w:asciiTheme="minorHAnsi" w:hAnsiTheme="minorHAnsi" w:cs="Calibri"/>
          <w:bCs/>
          <w:color w:val="000000" w:themeColor="text1"/>
        </w:rPr>
        <w:t>proto</w:t>
      </w:r>
      <w:r w:rsidRPr="00834BC4">
        <w:rPr>
          <w:rFonts w:asciiTheme="minorHAnsi" w:hAnsiTheme="minorHAnsi" w:cs="Calibri"/>
          <w:color w:val="000000" w:themeColor="text1"/>
        </w:rPr>
        <w:t xml:space="preserve"> nebyla naplněna. Přestože se tedy jedná o složité kauzy a již jejich otevření a zahájení soudního řízení je pozitivní, stále chybí poslední krok ke zvýšení důvěry ve fungující stát, který je schopen efektivně střežit své zájmy a integritu.</w:t>
      </w:r>
    </w:p>
    <w:p w:rsidR="00834BC4" w:rsidRPr="00834BC4" w:rsidRDefault="00834BC4" w:rsidP="00834BC4">
      <w:pPr>
        <w:jc w:val="both"/>
        <w:rPr>
          <w:rFonts w:asciiTheme="minorHAnsi" w:hAnsiTheme="minorHAnsi" w:cs="Calibri"/>
        </w:rPr>
      </w:pPr>
    </w:p>
    <w:p w:rsidR="00834BC4" w:rsidRPr="00834BC4" w:rsidRDefault="00834BC4" w:rsidP="00834BC4">
      <w:pPr>
        <w:jc w:val="both"/>
        <w:rPr>
          <w:rFonts w:asciiTheme="minorHAnsi" w:hAnsiTheme="minorHAnsi" w:cs="Calibri"/>
        </w:rPr>
      </w:pPr>
      <w:r w:rsidRPr="00834BC4">
        <w:rPr>
          <w:rFonts w:asciiTheme="minorHAnsi" w:hAnsiTheme="minorHAnsi" w:cs="Calibri"/>
          <w:b/>
        </w:rPr>
        <w:t>„Vnímám rozpaky veřejnosti nad některými soudními rozhodnutími, v nichž nesprávně vítězí forma nad obsahem. Je však rovněž třeba poznamenat, že očekávání veřejnosti, včetně sdělovacích prostředků, musí být realistická a musí reflektovat současnou nedůvodnou složitost trestního procesu, stejně jako nedostatek respektu řady jednotlivců k soudu. To vše má vliv na délku a kvalitu trestních řízení,“</w:t>
      </w:r>
      <w:r w:rsidRPr="00834BC4">
        <w:rPr>
          <w:rFonts w:asciiTheme="minorHAnsi" w:hAnsiTheme="minorHAnsi" w:cs="Calibri"/>
        </w:rPr>
        <w:t xml:space="preserve"> podotýká Zdeněk Matula, prezident Unie státních zástupců.</w:t>
      </w:r>
    </w:p>
    <w:p w:rsidR="00834BC4" w:rsidRPr="00834BC4" w:rsidRDefault="00834BC4" w:rsidP="00834BC4">
      <w:pPr>
        <w:jc w:val="both"/>
        <w:rPr>
          <w:rFonts w:asciiTheme="minorHAnsi" w:hAnsiTheme="minorHAnsi" w:cs="Calibri"/>
          <w:i/>
          <w:iCs/>
          <w:highlight w:val="yellow"/>
        </w:rPr>
      </w:pPr>
    </w:p>
    <w:p w:rsidR="00834BC4" w:rsidRPr="00834BC4" w:rsidRDefault="00834BC4" w:rsidP="00834BC4">
      <w:pPr>
        <w:jc w:val="both"/>
        <w:rPr>
          <w:rFonts w:asciiTheme="minorHAnsi" w:hAnsiTheme="minorHAnsi" w:cs="Calibri"/>
          <w:b/>
          <w:bCs/>
          <w:highlight w:val="yellow"/>
        </w:rPr>
      </w:pPr>
      <w:r w:rsidRPr="00834BC4">
        <w:rPr>
          <w:rFonts w:asciiTheme="minorHAnsi" w:hAnsiTheme="minorHAnsi" w:cs="Calibri"/>
          <w:b/>
          <w:bCs/>
        </w:rPr>
        <w:t>Jak znovu nastolit pozitivní trend?</w:t>
      </w:r>
    </w:p>
    <w:p w:rsidR="00834BC4" w:rsidRPr="00834BC4" w:rsidRDefault="00834BC4" w:rsidP="00834BC4">
      <w:pPr>
        <w:jc w:val="both"/>
        <w:rPr>
          <w:rFonts w:asciiTheme="minorHAnsi" w:hAnsiTheme="minorHAnsi" w:cs="Calibri"/>
        </w:rPr>
      </w:pPr>
      <w:r w:rsidRPr="00834BC4">
        <w:rPr>
          <w:rFonts w:asciiTheme="minorHAnsi" w:hAnsiTheme="minorHAnsi" w:cs="Calibri"/>
        </w:rPr>
        <w:t xml:space="preserve">Aby se našemu pohybu v žebříčku </w:t>
      </w:r>
      <w:proofErr w:type="gramStart"/>
      <w:r w:rsidRPr="00834BC4">
        <w:rPr>
          <w:rFonts w:asciiTheme="minorHAnsi" w:hAnsiTheme="minorHAnsi" w:cs="Calibri"/>
        </w:rPr>
        <w:t>CPI vrátila</w:t>
      </w:r>
      <w:proofErr w:type="gramEnd"/>
      <w:r w:rsidRPr="00834BC4">
        <w:rPr>
          <w:rFonts w:asciiTheme="minorHAnsi" w:hAnsiTheme="minorHAnsi" w:cs="Calibri"/>
        </w:rPr>
        <w:t xml:space="preserve"> vzestupná tendence z předchozích let, je potřeba v dalších letech především zefektivnit vymáhání práva, přijmout chybějící klíčové normy v podobě, která zaručí pozitivní změnu, a dbát důsledně na jejich aplikaci. Především však musíme pečlivě sledovat počínání klíčových politiků a nedovolit jim, aby hájili své ekonomické zájmy v rozporu s veřejným zájmem a se zájmy občanů.</w:t>
      </w:r>
    </w:p>
    <w:p w:rsidR="00834BC4" w:rsidRPr="00834BC4" w:rsidRDefault="00834BC4" w:rsidP="00834BC4">
      <w:pPr>
        <w:jc w:val="both"/>
        <w:rPr>
          <w:rFonts w:asciiTheme="minorHAnsi" w:hAnsiTheme="minorHAnsi" w:cs="Calibri"/>
        </w:rPr>
      </w:pPr>
    </w:p>
    <w:p w:rsidR="00834BC4" w:rsidRPr="00834BC4" w:rsidRDefault="00834BC4" w:rsidP="00834BC4">
      <w:pPr>
        <w:jc w:val="both"/>
        <w:rPr>
          <w:rFonts w:asciiTheme="minorHAnsi" w:hAnsiTheme="minorHAnsi" w:cs="Calibri"/>
          <w:b/>
        </w:rPr>
      </w:pPr>
      <w:r w:rsidRPr="00834BC4">
        <w:rPr>
          <w:rFonts w:asciiTheme="minorHAnsi" w:hAnsiTheme="minorHAnsi" w:cs="Calibri"/>
          <w:b/>
        </w:rPr>
        <w:t>„Korupce ve společnosti byla politickým tématem v několika po</w:t>
      </w:r>
      <w:r w:rsidR="00F24C42">
        <w:rPr>
          <w:rFonts w:asciiTheme="minorHAnsi" w:hAnsiTheme="minorHAnsi" w:cs="Calibri"/>
          <w:b/>
        </w:rPr>
        <w:t xml:space="preserve">sledních letech, nicméně teď </w:t>
      </w:r>
      <w:r w:rsidRPr="00834BC4">
        <w:rPr>
          <w:rFonts w:asciiTheme="minorHAnsi" w:hAnsiTheme="minorHAnsi" w:cs="Calibri"/>
          <w:b/>
        </w:rPr>
        <w:t>pod tíhou témat nových není tolik akcentována. Přitom v žádném případě nemůžeme mluvit o tom, že by téma korupce bylo uspokojivě vyřešeno. Ostatně jak je vidět na stále běžících korupčních kauzách či na procesu přijímání zákona o střetu zájmů, existuje stále prostor</w:t>
      </w:r>
      <w:r w:rsidR="00B57E08">
        <w:rPr>
          <w:rFonts w:asciiTheme="minorHAnsi" w:hAnsiTheme="minorHAnsi" w:cs="Calibri"/>
          <w:b/>
        </w:rPr>
        <w:t xml:space="preserve"> pro</w:t>
      </w:r>
      <w:r w:rsidRPr="00834BC4">
        <w:rPr>
          <w:rFonts w:asciiTheme="minorHAnsi" w:hAnsiTheme="minorHAnsi" w:cs="Calibri"/>
          <w:b/>
        </w:rPr>
        <w:t xml:space="preserve"> výrazné zlepšení. A i proto je téma korupce vnímáno jako důležité,“ </w:t>
      </w:r>
      <w:r w:rsidRPr="00834BC4">
        <w:rPr>
          <w:rFonts w:asciiTheme="minorHAnsi" w:hAnsiTheme="minorHAnsi" w:cs="Calibri"/>
        </w:rPr>
        <w:t>shrnuje</w:t>
      </w:r>
      <w:r w:rsidRPr="00834BC4">
        <w:rPr>
          <w:rFonts w:asciiTheme="minorHAnsi" w:hAnsiTheme="minorHAnsi" w:cs="Calibri"/>
          <w:b/>
        </w:rPr>
        <w:t xml:space="preserve"> </w:t>
      </w:r>
      <w:r w:rsidRPr="00834BC4">
        <w:rPr>
          <w:rFonts w:asciiTheme="minorHAnsi" w:hAnsiTheme="minorHAnsi" w:cs="Calibri"/>
        </w:rPr>
        <w:t>Kamil Švec, politolog, Institut politologických studií FSV UK.</w:t>
      </w:r>
    </w:p>
    <w:p w:rsidR="00834BC4" w:rsidRPr="00834BC4" w:rsidRDefault="00834BC4" w:rsidP="00834BC4">
      <w:pPr>
        <w:jc w:val="both"/>
        <w:rPr>
          <w:rFonts w:asciiTheme="minorHAnsi" w:hAnsiTheme="minorHAnsi" w:cs="Calibri"/>
        </w:rPr>
      </w:pPr>
    </w:p>
    <w:p w:rsidR="00834BC4" w:rsidRPr="00834BC4" w:rsidRDefault="00834BC4" w:rsidP="00834BC4">
      <w:pPr>
        <w:jc w:val="both"/>
        <w:rPr>
          <w:rFonts w:asciiTheme="minorHAnsi" w:hAnsiTheme="minorHAnsi" w:cs="Calibri"/>
          <w:b/>
          <w:bCs/>
        </w:rPr>
      </w:pPr>
      <w:r w:rsidRPr="00834BC4">
        <w:rPr>
          <w:rFonts w:asciiTheme="minorHAnsi" w:hAnsiTheme="minorHAnsi" w:cs="Calibri"/>
          <w:b/>
          <w:bCs/>
        </w:rPr>
        <w:t>O indexu vnímání korupce</w:t>
      </w:r>
    </w:p>
    <w:p w:rsidR="00834BC4" w:rsidRPr="00834BC4" w:rsidRDefault="00834BC4" w:rsidP="00834BC4">
      <w:pPr>
        <w:jc w:val="both"/>
        <w:rPr>
          <w:rFonts w:asciiTheme="minorHAnsi" w:hAnsiTheme="minorHAnsi" w:cs="Calibri"/>
        </w:rPr>
      </w:pPr>
      <w:r w:rsidRPr="00834BC4">
        <w:rPr>
          <w:rFonts w:asciiTheme="minorHAnsi" w:hAnsiTheme="minorHAnsi" w:cs="Calibri"/>
        </w:rPr>
        <w:t>Index vnímání korupce (Corruption Perceptions Index, CPI) zveřejňuje mezinárodní nevládní organizace Transparency International (TI) od roku 1995. Index řadí země podle stupně vnímání korupce ve veřejném sektoru s použitím stupnice 0–100, kde 100 označuje zemi téměř bez korupce a 0 znamená vysokou míru korupce. Letos se hodnotí celkem 176 zemí.</w:t>
      </w:r>
    </w:p>
    <w:p w:rsidR="00834BC4" w:rsidRPr="00834BC4" w:rsidRDefault="00834BC4" w:rsidP="00834BC4">
      <w:pPr>
        <w:jc w:val="both"/>
        <w:rPr>
          <w:rFonts w:asciiTheme="minorHAnsi" w:hAnsiTheme="minorHAnsi" w:cs="Calibri"/>
        </w:rPr>
      </w:pPr>
    </w:p>
    <w:p w:rsidR="00834BC4" w:rsidRPr="00834BC4" w:rsidRDefault="00834BC4" w:rsidP="00834BC4">
      <w:pPr>
        <w:jc w:val="both"/>
        <w:rPr>
          <w:rFonts w:asciiTheme="minorHAnsi" w:hAnsiTheme="minorHAnsi" w:cs="Calibri"/>
        </w:rPr>
      </w:pPr>
      <w:r w:rsidRPr="00834BC4">
        <w:rPr>
          <w:rFonts w:asciiTheme="minorHAnsi" w:hAnsiTheme="minorHAnsi" w:cs="Calibri"/>
        </w:rPr>
        <w:t>Žebříček je sestavován na základě výsledků průzkumů mezi experty, v nichž respondenti (ať již jednotlivci či organizace) hodnotí mj. schopnost vládních institucí potlačovat a postihovat korupci, účinnost protikorupčních opatření, rozsah korupce v různých oblastech veřejné správy, míru transparentnosti jejího fungování a míru zneužívání veřejných funkcí a veřejných prostředků. Česká republika byla hodnocena na základě 13 dílčích průzkumů renomovaných mezinárodních institucí.</w:t>
      </w:r>
    </w:p>
    <w:p w:rsidR="00834BC4" w:rsidRPr="00834BC4" w:rsidRDefault="00834BC4" w:rsidP="00834BC4">
      <w:pPr>
        <w:jc w:val="both"/>
        <w:rPr>
          <w:rFonts w:asciiTheme="minorHAnsi" w:hAnsiTheme="minorHAnsi" w:cs="Calibri"/>
        </w:rPr>
      </w:pPr>
    </w:p>
    <w:p w:rsidR="00834BC4" w:rsidRPr="00834BC4" w:rsidRDefault="00834BC4" w:rsidP="00834BC4">
      <w:pPr>
        <w:jc w:val="both"/>
        <w:rPr>
          <w:rFonts w:asciiTheme="minorHAnsi" w:hAnsiTheme="minorHAnsi" w:cs="Calibri"/>
        </w:rPr>
      </w:pPr>
      <w:r w:rsidRPr="00834BC4">
        <w:rPr>
          <w:rFonts w:asciiTheme="minorHAnsi" w:hAnsiTheme="minorHAnsi" w:cs="Calibri"/>
        </w:rPr>
        <w:t xml:space="preserve">Data pro Index se sbírají v průběhu roku 2015/2016 a výsledek tedy neodráží jednotlivou nedávnou událost nebo politické rozhodnutí, ale představuje odraz dlouhodobějšího trendu. </w:t>
      </w:r>
    </w:p>
    <w:p w:rsidR="00834BC4" w:rsidRPr="00834BC4" w:rsidRDefault="00834BC4" w:rsidP="00834BC4">
      <w:pPr>
        <w:jc w:val="both"/>
        <w:rPr>
          <w:rFonts w:asciiTheme="minorHAnsi" w:hAnsiTheme="minorHAnsi" w:cs="Calibri"/>
        </w:rPr>
      </w:pPr>
    </w:p>
    <w:p w:rsidR="00834BC4" w:rsidRPr="00834BC4" w:rsidRDefault="00834BC4" w:rsidP="00834BC4">
      <w:pPr>
        <w:jc w:val="both"/>
        <w:rPr>
          <w:rFonts w:asciiTheme="minorHAnsi" w:hAnsiTheme="minorHAnsi" w:cs="Calibri"/>
          <w:b/>
          <w:bCs/>
        </w:rPr>
      </w:pPr>
      <w:r w:rsidRPr="00834BC4">
        <w:rPr>
          <w:rFonts w:asciiTheme="minorHAnsi" w:hAnsiTheme="minorHAnsi" w:cs="Calibri"/>
          <w:b/>
          <w:bCs/>
        </w:rPr>
        <w:t xml:space="preserve">Ke stažení: </w:t>
      </w:r>
    </w:p>
    <w:p w:rsidR="00834BC4" w:rsidRPr="00E62AC2" w:rsidRDefault="00834BC4" w:rsidP="00834BC4">
      <w:pPr>
        <w:jc w:val="both"/>
        <w:rPr>
          <w:rFonts w:asciiTheme="minorHAnsi" w:hAnsiTheme="minorHAnsi" w:cs="Calibri"/>
          <w:b/>
          <w:bCs/>
          <w:color w:val="0070C0"/>
        </w:rPr>
      </w:pPr>
    </w:p>
    <w:bookmarkStart w:id="0" w:name="_GoBack"/>
    <w:p w:rsidR="00834BC4" w:rsidRPr="00E62AC2" w:rsidRDefault="00E62AC2" w:rsidP="00834BC4">
      <w:pPr>
        <w:pStyle w:val="Normlnweb"/>
        <w:shd w:val="clear" w:color="auto" w:fill="FFFFFF"/>
        <w:spacing w:before="0" w:beforeAutospacing="0" w:after="150" w:afterAutospacing="0"/>
        <w:rPr>
          <w:rStyle w:val="Hypertextovodkaz"/>
          <w:rFonts w:asciiTheme="minorHAnsi" w:hAnsiTheme="minorHAnsi"/>
          <w:color w:val="0070C0"/>
        </w:rPr>
      </w:pPr>
      <w:r w:rsidRPr="00E62AC2">
        <w:rPr>
          <w:rFonts w:asciiTheme="minorHAnsi" w:hAnsiTheme="minorHAnsi"/>
          <w:color w:val="0070C0"/>
        </w:rPr>
        <w:fldChar w:fldCharType="begin"/>
      </w:r>
      <w:r w:rsidRPr="00E62AC2">
        <w:rPr>
          <w:rFonts w:asciiTheme="minorHAnsi" w:hAnsiTheme="minorHAnsi"/>
          <w:color w:val="0070C0"/>
        </w:rPr>
        <w:instrText xml:space="preserve"> HYPERLINK "https://www.youtube.com/watch?v=RmM2nDFWP4Y&amp;list=PLVfIkbZEOn9mj5U0eIpZtXjExvAS8Prp4&amp;index=23" </w:instrText>
      </w:r>
      <w:r w:rsidRPr="00E62AC2">
        <w:rPr>
          <w:rFonts w:asciiTheme="minorHAnsi" w:hAnsiTheme="minorHAnsi"/>
          <w:color w:val="0070C0"/>
        </w:rPr>
      </w:r>
      <w:r w:rsidRPr="00E62AC2">
        <w:rPr>
          <w:rFonts w:asciiTheme="minorHAnsi" w:hAnsiTheme="minorHAnsi"/>
          <w:color w:val="0070C0"/>
        </w:rPr>
        <w:fldChar w:fldCharType="separate"/>
      </w:r>
      <w:r w:rsidR="00834BC4" w:rsidRPr="00E62AC2">
        <w:rPr>
          <w:rStyle w:val="Hypertextovodkaz"/>
          <w:rFonts w:asciiTheme="minorHAnsi" w:hAnsiTheme="minorHAnsi"/>
          <w:color w:val="0070C0"/>
        </w:rPr>
        <w:t xml:space="preserve">CPI 2016 – Minuty TI s Petrem </w:t>
      </w:r>
      <w:proofErr w:type="spellStart"/>
      <w:r w:rsidR="00834BC4" w:rsidRPr="00E62AC2">
        <w:rPr>
          <w:rStyle w:val="Hypertextovodkaz"/>
          <w:rFonts w:asciiTheme="minorHAnsi" w:hAnsiTheme="minorHAnsi"/>
          <w:color w:val="0070C0"/>
        </w:rPr>
        <w:t>Leyerem</w:t>
      </w:r>
      <w:proofErr w:type="spellEnd"/>
    </w:p>
    <w:p w:rsidR="002A4884" w:rsidRPr="002A4884" w:rsidRDefault="00E62AC2" w:rsidP="00834BC4">
      <w:pPr>
        <w:pStyle w:val="Normlnweb"/>
        <w:shd w:val="clear" w:color="auto" w:fill="FFFFFF"/>
        <w:spacing w:before="0" w:beforeAutospacing="0" w:after="150" w:afterAutospacing="0"/>
        <w:rPr>
          <w:rFonts w:asciiTheme="minorHAnsi" w:hAnsiTheme="minorHAnsi"/>
          <w:color w:val="0070C0"/>
        </w:rPr>
      </w:pPr>
      <w:r w:rsidRPr="00E62AC2">
        <w:rPr>
          <w:rFonts w:asciiTheme="minorHAnsi" w:hAnsiTheme="minorHAnsi"/>
          <w:color w:val="0070C0"/>
        </w:rPr>
        <w:fldChar w:fldCharType="end"/>
      </w:r>
      <w:bookmarkEnd w:id="0"/>
      <w:r>
        <w:fldChar w:fldCharType="begin"/>
      </w:r>
      <w:r>
        <w:instrText xml:space="preserve"> HYPERLINK "https://www.transparency.cz/wp-content/uploads/CPI-2016_TI-Secretariate-Press-release.pdf" </w:instrText>
      </w:r>
      <w:r>
        <w:fldChar w:fldCharType="separate"/>
      </w:r>
      <w:r w:rsidR="002A4884" w:rsidRPr="002A4884">
        <w:rPr>
          <w:rStyle w:val="Hypertextovodkaz"/>
          <w:rFonts w:asciiTheme="minorHAnsi" w:hAnsiTheme="minorHAnsi"/>
          <w:color w:val="0070C0"/>
        </w:rPr>
        <w:t>CPI 2016 – Mezinárodní tisková zpráva</w:t>
      </w:r>
      <w:r>
        <w:rPr>
          <w:rStyle w:val="Hypertextovodkaz"/>
          <w:rFonts w:asciiTheme="minorHAnsi" w:hAnsiTheme="minorHAnsi"/>
          <w:color w:val="0070C0"/>
        </w:rPr>
        <w:fldChar w:fldCharType="end"/>
      </w:r>
    </w:p>
    <w:p w:rsidR="00834BC4" w:rsidRPr="00BF31E1" w:rsidRDefault="00BF31E1" w:rsidP="00834BC4">
      <w:pPr>
        <w:pStyle w:val="Normlnweb"/>
        <w:shd w:val="clear" w:color="auto" w:fill="FFFFFF"/>
        <w:spacing w:before="0" w:beforeAutospacing="0" w:after="150" w:afterAutospacing="0"/>
        <w:rPr>
          <w:rStyle w:val="Hypertextovodkaz"/>
          <w:rFonts w:asciiTheme="minorHAnsi" w:hAnsiTheme="minorHAnsi" w:cs="Helvetica"/>
          <w:color w:val="0070C0"/>
        </w:rPr>
      </w:pPr>
      <w:r w:rsidRPr="00BF31E1">
        <w:rPr>
          <w:rFonts w:asciiTheme="minorHAnsi" w:eastAsia="Calibri" w:hAnsiTheme="minorHAnsi" w:cs="Helvetica"/>
          <w:color w:val="0070C0"/>
        </w:rPr>
        <w:fldChar w:fldCharType="begin"/>
      </w:r>
      <w:r w:rsidR="00242CF9">
        <w:rPr>
          <w:rFonts w:asciiTheme="minorHAnsi" w:eastAsia="Calibri" w:hAnsiTheme="minorHAnsi" w:cs="Helvetica"/>
          <w:color w:val="0070C0"/>
        </w:rPr>
        <w:instrText>HYPERLINK "https://www.transparency.cz/wp-content/uploads/CPI-2016-Česká-republika-Infografika.png"</w:instrText>
      </w:r>
      <w:r w:rsidR="00242CF9" w:rsidRPr="00BF31E1">
        <w:rPr>
          <w:rFonts w:asciiTheme="minorHAnsi" w:eastAsia="Calibri" w:hAnsiTheme="minorHAnsi" w:cs="Helvetica"/>
          <w:color w:val="0070C0"/>
        </w:rPr>
      </w:r>
      <w:r w:rsidRPr="00BF31E1">
        <w:rPr>
          <w:rFonts w:asciiTheme="minorHAnsi" w:eastAsia="Calibri" w:hAnsiTheme="minorHAnsi" w:cs="Helvetica"/>
          <w:color w:val="0070C0"/>
        </w:rPr>
        <w:fldChar w:fldCharType="separate"/>
      </w:r>
      <w:r w:rsidR="00834BC4" w:rsidRPr="00BF31E1">
        <w:rPr>
          <w:rStyle w:val="Hypertextovodkaz"/>
          <w:rFonts w:asciiTheme="minorHAnsi" w:eastAsia="Calibri" w:hAnsiTheme="minorHAnsi" w:cs="Helvetica"/>
          <w:color w:val="0070C0"/>
        </w:rPr>
        <w:t>CPI 2016 – Česká republika</w:t>
      </w:r>
    </w:p>
    <w:p w:rsidR="00834BC4" w:rsidRPr="00BF31E1" w:rsidRDefault="00BF31E1" w:rsidP="00834BC4">
      <w:pPr>
        <w:pStyle w:val="Normlnweb"/>
        <w:shd w:val="clear" w:color="auto" w:fill="FFFFFF"/>
        <w:spacing w:before="0" w:beforeAutospacing="0" w:after="150" w:afterAutospacing="0"/>
        <w:rPr>
          <w:rFonts w:asciiTheme="minorHAnsi" w:hAnsiTheme="minorHAnsi" w:cs="Helvetica"/>
          <w:color w:val="0070C0"/>
        </w:rPr>
      </w:pPr>
      <w:r w:rsidRPr="00BF31E1">
        <w:rPr>
          <w:rFonts w:asciiTheme="minorHAnsi" w:eastAsia="Calibri" w:hAnsiTheme="minorHAnsi" w:cs="Helvetica"/>
          <w:color w:val="0070C0"/>
        </w:rPr>
        <w:fldChar w:fldCharType="end"/>
      </w:r>
      <w:hyperlink r:id="rId11" w:history="1">
        <w:r w:rsidR="00834BC4" w:rsidRPr="00BF31E1">
          <w:rPr>
            <w:rStyle w:val="Hypertextovodkaz"/>
            <w:rFonts w:asciiTheme="minorHAnsi" w:eastAsia="Calibri" w:hAnsiTheme="minorHAnsi" w:cs="Helvetica"/>
            <w:color w:val="0070C0"/>
          </w:rPr>
          <w:t>CPI 2016 – EU</w:t>
        </w:r>
      </w:hyperlink>
    </w:p>
    <w:p w:rsidR="00834BC4" w:rsidRPr="00BF31E1" w:rsidRDefault="00E62AC2" w:rsidP="00834BC4">
      <w:pPr>
        <w:pStyle w:val="Normlnweb"/>
        <w:shd w:val="clear" w:color="auto" w:fill="FFFFFF"/>
        <w:spacing w:before="0" w:beforeAutospacing="0" w:after="150" w:afterAutospacing="0"/>
        <w:rPr>
          <w:rFonts w:asciiTheme="minorHAnsi" w:hAnsiTheme="minorHAnsi" w:cs="Helvetica"/>
          <w:color w:val="0070C0"/>
        </w:rPr>
      </w:pPr>
      <w:hyperlink r:id="rId12" w:history="1">
        <w:r w:rsidR="00834BC4" w:rsidRPr="00BF31E1">
          <w:rPr>
            <w:rStyle w:val="Hypertextovodkaz"/>
            <w:rFonts w:asciiTheme="minorHAnsi" w:eastAsia="Calibri" w:hAnsiTheme="minorHAnsi" w:cs="Helvetica"/>
            <w:color w:val="0070C0"/>
          </w:rPr>
          <w:t>CPI 2016 – Svět</w:t>
        </w:r>
      </w:hyperlink>
    </w:p>
    <w:p w:rsidR="00834BC4" w:rsidRPr="00BF31E1" w:rsidRDefault="00E62AC2" w:rsidP="00834BC4">
      <w:pPr>
        <w:pStyle w:val="Normlnweb"/>
        <w:shd w:val="clear" w:color="auto" w:fill="FFFFFF"/>
        <w:spacing w:before="0" w:beforeAutospacing="0" w:after="150" w:afterAutospacing="0"/>
        <w:rPr>
          <w:rFonts w:asciiTheme="minorHAnsi" w:hAnsiTheme="minorHAnsi" w:cs="Helvetica"/>
          <w:color w:val="0070C0"/>
        </w:rPr>
      </w:pPr>
      <w:hyperlink r:id="rId13" w:history="1">
        <w:r w:rsidR="00834BC4" w:rsidRPr="00BF31E1">
          <w:rPr>
            <w:rStyle w:val="Hypertextovodkaz"/>
            <w:rFonts w:asciiTheme="minorHAnsi" w:eastAsia="Calibri" w:hAnsiTheme="minorHAnsi" w:cs="Helvetica"/>
            <w:color w:val="0070C0"/>
          </w:rPr>
          <w:t>CPI 2016 – Nejčastěji kladené dotazy</w:t>
        </w:r>
      </w:hyperlink>
    </w:p>
    <w:p w:rsidR="00834BC4" w:rsidRPr="00BF31E1" w:rsidRDefault="00E62AC2" w:rsidP="00834BC4">
      <w:pPr>
        <w:pStyle w:val="Normlnweb"/>
        <w:shd w:val="clear" w:color="auto" w:fill="FFFFFF"/>
        <w:spacing w:before="0" w:beforeAutospacing="0" w:after="150" w:afterAutospacing="0"/>
        <w:rPr>
          <w:rFonts w:asciiTheme="minorHAnsi" w:hAnsiTheme="minorHAnsi" w:cs="Helvetica"/>
          <w:color w:val="0070C0"/>
        </w:rPr>
      </w:pPr>
      <w:hyperlink r:id="rId14" w:history="1">
        <w:r w:rsidR="00834BC4" w:rsidRPr="00BF31E1">
          <w:rPr>
            <w:rStyle w:val="Hypertextovodkaz"/>
            <w:rFonts w:asciiTheme="minorHAnsi" w:eastAsia="Calibri" w:hAnsiTheme="minorHAnsi" w:cs="Helvetica"/>
            <w:color w:val="0070C0"/>
          </w:rPr>
          <w:t>CPI 2016 – Stručná metodologická poznámka</w:t>
        </w:r>
      </w:hyperlink>
    </w:p>
    <w:p w:rsidR="00834BC4" w:rsidRPr="00BF31E1" w:rsidRDefault="00BF31E1" w:rsidP="00834BC4">
      <w:pPr>
        <w:pStyle w:val="Normlnweb"/>
        <w:shd w:val="clear" w:color="auto" w:fill="FFFFFF"/>
        <w:spacing w:before="0" w:beforeAutospacing="0" w:after="150" w:afterAutospacing="0"/>
        <w:rPr>
          <w:rStyle w:val="Hypertextovodkaz"/>
          <w:rFonts w:asciiTheme="minorHAnsi" w:hAnsiTheme="minorHAnsi" w:cs="Helvetica"/>
          <w:color w:val="0070C0"/>
        </w:rPr>
      </w:pPr>
      <w:r w:rsidRPr="00BF31E1">
        <w:rPr>
          <w:rFonts w:asciiTheme="minorHAnsi" w:eastAsia="Calibri" w:hAnsiTheme="minorHAnsi" w:cs="Helvetica"/>
          <w:color w:val="0070C0"/>
        </w:rPr>
        <w:fldChar w:fldCharType="begin"/>
      </w:r>
      <w:r w:rsidRPr="00BF31E1">
        <w:rPr>
          <w:rFonts w:asciiTheme="minorHAnsi" w:eastAsia="Calibri" w:hAnsiTheme="minorHAnsi" w:cs="Helvetica"/>
          <w:color w:val="0070C0"/>
        </w:rPr>
        <w:instrText xml:space="preserve"> HYPERLINK "https://www.transparency.cz/wp-content/uploads/CPI-2016-Technical-Methodology-Note.pdf" </w:instrText>
      </w:r>
      <w:r w:rsidRPr="00BF31E1">
        <w:rPr>
          <w:rFonts w:asciiTheme="minorHAnsi" w:eastAsia="Calibri" w:hAnsiTheme="minorHAnsi" w:cs="Helvetica"/>
          <w:color w:val="0070C0"/>
        </w:rPr>
        <w:fldChar w:fldCharType="separate"/>
      </w:r>
      <w:r w:rsidR="00834BC4" w:rsidRPr="00BF31E1">
        <w:rPr>
          <w:rStyle w:val="Hypertextovodkaz"/>
          <w:rFonts w:asciiTheme="minorHAnsi" w:eastAsia="Calibri" w:hAnsiTheme="minorHAnsi" w:cs="Helvetica"/>
          <w:color w:val="0070C0"/>
        </w:rPr>
        <w:t>CPI 2016 – Technická metodologická poznámka</w:t>
      </w:r>
    </w:p>
    <w:p w:rsidR="00834BC4" w:rsidRPr="00BF31E1" w:rsidRDefault="00BF31E1" w:rsidP="00834BC4">
      <w:pPr>
        <w:pStyle w:val="Normlnweb"/>
        <w:shd w:val="clear" w:color="auto" w:fill="FFFFFF"/>
        <w:spacing w:before="0" w:beforeAutospacing="0" w:after="150" w:afterAutospacing="0"/>
        <w:rPr>
          <w:rFonts w:asciiTheme="minorHAnsi" w:hAnsiTheme="minorHAnsi" w:cs="Helvetica"/>
          <w:color w:val="0070C0"/>
        </w:rPr>
      </w:pPr>
      <w:r w:rsidRPr="00BF31E1">
        <w:rPr>
          <w:rFonts w:asciiTheme="minorHAnsi" w:eastAsia="Calibri" w:hAnsiTheme="minorHAnsi" w:cs="Helvetica"/>
          <w:color w:val="0070C0"/>
        </w:rPr>
        <w:fldChar w:fldCharType="end"/>
      </w:r>
      <w:hyperlink r:id="rId15" w:history="1">
        <w:r w:rsidR="00834BC4" w:rsidRPr="00BF31E1">
          <w:rPr>
            <w:rStyle w:val="Hypertextovodkaz"/>
            <w:rFonts w:asciiTheme="minorHAnsi" w:eastAsia="Calibri" w:hAnsiTheme="minorHAnsi" w:cs="Helvetica"/>
            <w:color w:val="0070C0"/>
          </w:rPr>
          <w:t>CPI 2016 – Podrobná tabulka</w:t>
        </w:r>
      </w:hyperlink>
    </w:p>
    <w:p w:rsidR="00834BC4" w:rsidRPr="00BF31E1" w:rsidRDefault="00E62AC2" w:rsidP="00834BC4">
      <w:pPr>
        <w:pStyle w:val="Normlnweb"/>
        <w:shd w:val="clear" w:color="auto" w:fill="FFFFFF"/>
        <w:spacing w:before="0" w:beforeAutospacing="0" w:after="150" w:afterAutospacing="0"/>
        <w:rPr>
          <w:rFonts w:asciiTheme="minorHAnsi" w:hAnsiTheme="minorHAnsi" w:cs="Helvetica"/>
          <w:color w:val="0070C0"/>
        </w:rPr>
      </w:pPr>
      <w:hyperlink r:id="rId16" w:history="1">
        <w:r w:rsidR="00834BC4" w:rsidRPr="00BF31E1">
          <w:rPr>
            <w:rStyle w:val="Hypertextovodkaz"/>
            <w:rFonts w:asciiTheme="minorHAnsi" w:eastAsia="Calibri" w:hAnsiTheme="minorHAnsi" w:cs="Helvetica"/>
            <w:color w:val="0070C0"/>
          </w:rPr>
          <w:t>CPI 2016 – Prezentace</w:t>
        </w:r>
      </w:hyperlink>
    </w:p>
    <w:p w:rsidR="00834BC4" w:rsidRPr="00BF31E1" w:rsidRDefault="00BF31E1" w:rsidP="00834BC4">
      <w:pPr>
        <w:pStyle w:val="Normlnweb"/>
        <w:shd w:val="clear" w:color="auto" w:fill="FFFFFF"/>
        <w:spacing w:before="0" w:beforeAutospacing="0" w:after="150" w:afterAutospacing="0"/>
        <w:rPr>
          <w:rStyle w:val="Hypertextovodkaz"/>
          <w:rFonts w:asciiTheme="minorHAnsi" w:hAnsiTheme="minorHAnsi" w:cs="Helvetica"/>
          <w:color w:val="0070C0"/>
        </w:rPr>
      </w:pPr>
      <w:r w:rsidRPr="00BF31E1">
        <w:rPr>
          <w:rFonts w:asciiTheme="minorHAnsi" w:eastAsia="Calibri" w:hAnsiTheme="minorHAnsi" w:cs="Helvetica"/>
          <w:color w:val="0070C0"/>
        </w:rPr>
        <w:fldChar w:fldCharType="begin"/>
      </w:r>
      <w:r w:rsidRPr="00BF31E1">
        <w:rPr>
          <w:rFonts w:asciiTheme="minorHAnsi" w:eastAsia="Calibri" w:hAnsiTheme="minorHAnsi" w:cs="Helvetica"/>
          <w:color w:val="0070C0"/>
        </w:rPr>
        <w:instrText xml:space="preserve"> HYPERLINK "https://www.transparency.cz/wp-content/uploads/CPI-2016-Source-Description-Document.pdf" </w:instrText>
      </w:r>
      <w:r w:rsidRPr="00BF31E1">
        <w:rPr>
          <w:rFonts w:asciiTheme="minorHAnsi" w:eastAsia="Calibri" w:hAnsiTheme="minorHAnsi" w:cs="Helvetica"/>
          <w:color w:val="0070C0"/>
        </w:rPr>
        <w:fldChar w:fldCharType="separate"/>
      </w:r>
      <w:r w:rsidR="00834BC4" w:rsidRPr="00BF31E1">
        <w:rPr>
          <w:rStyle w:val="Hypertextovodkaz"/>
          <w:rFonts w:asciiTheme="minorHAnsi" w:eastAsia="Calibri" w:hAnsiTheme="minorHAnsi" w:cs="Helvetica"/>
          <w:color w:val="0070C0"/>
        </w:rPr>
        <w:t>CPI 2016 – 13 dílčích průzkumů</w:t>
      </w:r>
    </w:p>
    <w:p w:rsidR="00834BC4" w:rsidRPr="00834BC4" w:rsidRDefault="00BF31E1" w:rsidP="00834BC4">
      <w:pPr>
        <w:jc w:val="both"/>
        <w:rPr>
          <w:rFonts w:asciiTheme="minorHAnsi" w:hAnsiTheme="minorHAnsi" w:cs="Calibri"/>
          <w:b/>
          <w:bCs/>
        </w:rPr>
      </w:pPr>
      <w:r w:rsidRPr="00BF31E1">
        <w:rPr>
          <w:rFonts w:asciiTheme="minorHAnsi" w:eastAsia="Calibri" w:hAnsiTheme="minorHAnsi" w:cs="Helvetica"/>
          <w:color w:val="0070C0"/>
        </w:rPr>
        <w:fldChar w:fldCharType="end"/>
      </w:r>
    </w:p>
    <w:p w:rsidR="00834BC4" w:rsidRPr="00834BC4" w:rsidRDefault="00834BC4" w:rsidP="00834BC4">
      <w:pPr>
        <w:jc w:val="both"/>
        <w:rPr>
          <w:rFonts w:asciiTheme="minorHAnsi" w:hAnsiTheme="minorHAnsi" w:cs="Calibri"/>
          <w:b/>
          <w:bCs/>
        </w:rPr>
      </w:pPr>
      <w:r w:rsidRPr="00834BC4">
        <w:rPr>
          <w:rFonts w:asciiTheme="minorHAnsi" w:hAnsiTheme="minorHAnsi" w:cs="Calibri"/>
        </w:rPr>
        <w:t xml:space="preserve">Více informací je k dispozici na </w:t>
      </w:r>
      <w:hyperlink r:id="rId17" w:history="1">
        <w:r w:rsidRPr="00834BC4">
          <w:rPr>
            <w:rStyle w:val="Hypertextovodkaz"/>
            <w:rFonts w:asciiTheme="minorHAnsi" w:eastAsia="MS Gothic" w:hAnsiTheme="minorHAnsi" w:cs="Calibri"/>
            <w:color w:val="0070C0"/>
          </w:rPr>
          <w:t>www.transparency.cz/cpi2016</w:t>
        </w:r>
      </w:hyperlink>
      <w:r w:rsidRPr="00834BC4">
        <w:rPr>
          <w:rFonts w:asciiTheme="minorHAnsi" w:hAnsiTheme="minorHAnsi" w:cs="Calibri"/>
        </w:rPr>
        <w:t>.</w:t>
      </w:r>
      <w:r w:rsidRPr="00834BC4">
        <w:rPr>
          <w:rFonts w:asciiTheme="minorHAnsi" w:hAnsiTheme="minorHAnsi" w:cs="Calibri"/>
          <w:b/>
          <w:bCs/>
        </w:rPr>
        <w:t xml:space="preserve"> </w:t>
      </w:r>
    </w:p>
    <w:p w:rsidR="00834BC4" w:rsidRPr="00834BC4" w:rsidRDefault="00834BC4" w:rsidP="00834BC4">
      <w:pPr>
        <w:jc w:val="both"/>
        <w:rPr>
          <w:rFonts w:asciiTheme="minorHAnsi" w:hAnsiTheme="minorHAnsi" w:cs="Calibri"/>
          <w:b/>
          <w:bCs/>
        </w:rPr>
      </w:pPr>
    </w:p>
    <w:p w:rsidR="00834BC4" w:rsidRPr="00834BC4" w:rsidRDefault="00834BC4" w:rsidP="00834BC4">
      <w:pPr>
        <w:jc w:val="both"/>
        <w:rPr>
          <w:rFonts w:asciiTheme="minorHAnsi" w:hAnsiTheme="minorHAnsi" w:cs="Calibri"/>
          <w:b/>
          <w:bCs/>
        </w:rPr>
      </w:pPr>
      <w:r w:rsidRPr="00834BC4">
        <w:rPr>
          <w:rFonts w:asciiTheme="minorHAnsi" w:hAnsiTheme="minorHAnsi" w:cs="Calibri"/>
        </w:rPr>
        <w:t xml:space="preserve">Další informace v angličtině naleznete na webových stránkách TI </w:t>
      </w:r>
      <w:hyperlink r:id="rId18" w:history="1">
        <w:r w:rsidRPr="00834BC4">
          <w:rPr>
            <w:rStyle w:val="Hypertextovodkaz"/>
            <w:rFonts w:asciiTheme="minorHAnsi" w:hAnsiTheme="minorHAnsi" w:cs="Calibri"/>
            <w:color w:val="0070C0"/>
          </w:rPr>
          <w:t>www.transparency.org/cpi</w:t>
        </w:r>
      </w:hyperlink>
      <w:r w:rsidRPr="00834BC4">
        <w:rPr>
          <w:rFonts w:asciiTheme="minorHAnsi" w:hAnsiTheme="minorHAnsi" w:cs="Calibri"/>
        </w:rPr>
        <w:t xml:space="preserve"> </w:t>
      </w:r>
      <w:r w:rsidRPr="00834BC4">
        <w:rPr>
          <w:rFonts w:asciiTheme="minorHAnsi" w:hAnsiTheme="minorHAnsi" w:cs="Calibri"/>
          <w:color w:val="0070C0"/>
        </w:rPr>
        <w:t xml:space="preserve"> </w:t>
      </w:r>
    </w:p>
    <w:p w:rsidR="00834BC4" w:rsidRPr="00834BC4" w:rsidRDefault="00834BC4" w:rsidP="00834BC4">
      <w:pPr>
        <w:jc w:val="both"/>
        <w:rPr>
          <w:rFonts w:asciiTheme="minorHAnsi" w:hAnsiTheme="minorHAnsi" w:cs="Calibri"/>
          <w:b/>
          <w:bCs/>
        </w:rPr>
      </w:pPr>
    </w:p>
    <w:p w:rsidR="00834BC4" w:rsidRPr="00834BC4" w:rsidRDefault="00834BC4" w:rsidP="00834BC4">
      <w:pPr>
        <w:jc w:val="both"/>
        <w:rPr>
          <w:rFonts w:asciiTheme="minorHAnsi" w:hAnsiTheme="minorHAnsi" w:cs="Calibri"/>
          <w:b/>
          <w:bCs/>
          <w:u w:val="single"/>
        </w:rPr>
      </w:pPr>
      <w:r w:rsidRPr="00834BC4">
        <w:rPr>
          <w:rFonts w:asciiTheme="minorHAnsi" w:hAnsiTheme="minorHAnsi" w:cs="Calibri"/>
          <w:b/>
          <w:bCs/>
        </w:rPr>
        <w:t>Kontakt pro média:</w:t>
      </w:r>
    </w:p>
    <w:p w:rsidR="00834BC4" w:rsidRPr="00834BC4" w:rsidRDefault="00E62AC2" w:rsidP="00834BC4">
      <w:pPr>
        <w:jc w:val="both"/>
        <w:rPr>
          <w:rFonts w:asciiTheme="minorHAnsi" w:hAnsiTheme="minorHAnsi" w:cs="Calibri"/>
          <w:color w:val="000000"/>
        </w:rPr>
      </w:pPr>
      <w:hyperlink r:id="rId19" w:history="1">
        <w:r w:rsidR="00834BC4" w:rsidRPr="00834BC4">
          <w:rPr>
            <w:rStyle w:val="Hypertextovodkaz"/>
            <w:rFonts w:asciiTheme="minorHAnsi" w:hAnsiTheme="minorHAnsi" w:cs="Calibri"/>
            <w:color w:val="0070C0"/>
          </w:rPr>
          <w:t>David Ondráčka</w:t>
        </w:r>
      </w:hyperlink>
      <w:r w:rsidR="00834BC4" w:rsidRPr="00834BC4">
        <w:rPr>
          <w:rStyle w:val="Hypertextovodkaz"/>
          <w:rFonts w:asciiTheme="minorHAnsi" w:hAnsiTheme="minorHAnsi" w:cs="Calibri"/>
          <w:color w:val="0070C0"/>
        </w:rPr>
        <w:t xml:space="preserve">, </w:t>
      </w:r>
      <w:r w:rsidR="00834BC4" w:rsidRPr="00834BC4">
        <w:rPr>
          <w:rFonts w:asciiTheme="minorHAnsi" w:hAnsiTheme="minorHAnsi" w:cs="Calibri"/>
          <w:color w:val="000000"/>
        </w:rPr>
        <w:t>ředitel Transparency International ČR</w:t>
      </w:r>
    </w:p>
    <w:p w:rsidR="00834BC4" w:rsidRPr="00834BC4" w:rsidRDefault="00834BC4" w:rsidP="00834BC4">
      <w:pPr>
        <w:jc w:val="both"/>
        <w:rPr>
          <w:rFonts w:asciiTheme="minorHAnsi" w:hAnsiTheme="minorHAnsi" w:cs="Calibri"/>
          <w:color w:val="000000"/>
        </w:rPr>
      </w:pPr>
      <w:r w:rsidRPr="00834BC4">
        <w:rPr>
          <w:rFonts w:asciiTheme="minorHAnsi" w:hAnsiTheme="minorHAnsi" w:cs="Calibri"/>
          <w:color w:val="000000"/>
        </w:rPr>
        <w:t xml:space="preserve">Mobil: +420 605 814 786  </w:t>
      </w:r>
    </w:p>
    <w:p w:rsidR="00834BC4" w:rsidRPr="00834BC4" w:rsidRDefault="00834BC4" w:rsidP="00834BC4">
      <w:pPr>
        <w:jc w:val="both"/>
        <w:rPr>
          <w:rFonts w:asciiTheme="minorHAnsi" w:hAnsiTheme="minorHAnsi" w:cs="Calibri"/>
          <w:color w:val="000000"/>
        </w:rPr>
      </w:pPr>
      <w:r w:rsidRPr="00834BC4">
        <w:rPr>
          <w:rFonts w:asciiTheme="minorHAnsi" w:hAnsiTheme="minorHAnsi" w:cs="Calibri"/>
          <w:color w:val="000000"/>
        </w:rPr>
        <w:t xml:space="preserve">E-mail: </w:t>
      </w:r>
      <w:hyperlink r:id="rId20" w:history="1">
        <w:r w:rsidRPr="00834BC4">
          <w:rPr>
            <w:rStyle w:val="Hypertextovodkaz"/>
            <w:rFonts w:asciiTheme="minorHAnsi" w:hAnsiTheme="minorHAnsi" w:cs="Calibri"/>
            <w:color w:val="0070C0"/>
          </w:rPr>
          <w:t>ondracka@transparency.cz</w:t>
        </w:r>
      </w:hyperlink>
      <w:r w:rsidRPr="00834BC4">
        <w:rPr>
          <w:rFonts w:asciiTheme="minorHAnsi" w:hAnsiTheme="minorHAnsi" w:cs="Calibri"/>
          <w:color w:val="0070C0"/>
        </w:rPr>
        <w:t xml:space="preserve"> </w:t>
      </w:r>
    </w:p>
    <w:p w:rsidR="00834BC4" w:rsidRPr="00834BC4" w:rsidRDefault="00834BC4" w:rsidP="00834BC4">
      <w:pPr>
        <w:jc w:val="both"/>
        <w:rPr>
          <w:rFonts w:asciiTheme="minorHAnsi" w:hAnsiTheme="minorHAnsi" w:cs="Calibri"/>
        </w:rPr>
      </w:pPr>
    </w:p>
    <w:p w:rsidR="00834BC4" w:rsidRPr="00834BC4" w:rsidRDefault="00834BC4" w:rsidP="00834BC4">
      <w:pPr>
        <w:jc w:val="both"/>
        <w:rPr>
          <w:rFonts w:asciiTheme="minorHAnsi" w:hAnsiTheme="minorHAnsi"/>
        </w:rPr>
      </w:pPr>
    </w:p>
    <w:p w:rsidR="00834BC4" w:rsidRPr="00834BC4" w:rsidRDefault="00834BC4" w:rsidP="00834BC4">
      <w:pPr>
        <w:rPr>
          <w:rFonts w:asciiTheme="minorHAnsi" w:hAnsiTheme="minorHAnsi"/>
        </w:rPr>
      </w:pPr>
    </w:p>
    <w:sectPr w:rsidR="00834BC4" w:rsidRPr="00834BC4">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03E" w:rsidRDefault="00E9303E" w:rsidP="00A53006">
      <w:r>
        <w:separator/>
      </w:r>
    </w:p>
  </w:endnote>
  <w:endnote w:type="continuationSeparator" w:id="0">
    <w:p w:rsidR="00E9303E" w:rsidRDefault="00E9303E" w:rsidP="00A5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Oswald">
    <w:altName w:val="Times New Roman"/>
    <w:panose1 w:val="02000303000000000000"/>
    <w:charset w:val="EE"/>
    <w:family w:val="auto"/>
    <w:pitch w:val="variable"/>
    <w:sig w:usb0="A00000E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BFBFBF" w:themeColor="background1" w:themeShade="BF"/>
        <w:sz w:val="16"/>
        <w:szCs w:val="16"/>
      </w:rPr>
      <w:id w:val="92605450"/>
      <w:docPartObj>
        <w:docPartGallery w:val="Page Numbers (Bottom of Page)"/>
        <w:docPartUnique/>
      </w:docPartObj>
    </w:sdtPr>
    <w:sdtEndPr>
      <w:rPr>
        <w:rFonts w:ascii="Oswald" w:hAnsi="Oswald"/>
        <w:color w:val="808080" w:themeColor="background1" w:themeShade="80"/>
      </w:rPr>
    </w:sdtEndPr>
    <w:sdtContent>
      <w:sdt>
        <w:sdtPr>
          <w:rPr>
            <w:rFonts w:ascii="Oswald" w:hAnsi="Oswald"/>
            <w:color w:val="808080" w:themeColor="background1" w:themeShade="80"/>
            <w:sz w:val="20"/>
            <w:szCs w:val="20"/>
          </w:rPr>
          <w:id w:val="860082579"/>
          <w:docPartObj>
            <w:docPartGallery w:val="Page Numbers (Top of Page)"/>
            <w:docPartUnique/>
          </w:docPartObj>
        </w:sdtPr>
        <w:sdtEndPr>
          <w:rPr>
            <w:sz w:val="16"/>
            <w:szCs w:val="16"/>
          </w:rPr>
        </w:sdtEndPr>
        <w:sdtContent>
          <w:p w:rsidR="00A53006" w:rsidRPr="00786744" w:rsidRDefault="00A53006" w:rsidP="002E4134">
            <w:pPr>
              <w:pStyle w:val="Zpat"/>
              <w:jc w:val="right"/>
              <w:rPr>
                <w:rFonts w:ascii="Oswald" w:hAnsi="Oswald"/>
                <w:color w:val="808080" w:themeColor="background1" w:themeShade="80"/>
                <w:sz w:val="16"/>
                <w:szCs w:val="16"/>
              </w:rPr>
            </w:pPr>
            <w:proofErr w:type="gramStart"/>
            <w:r w:rsidRPr="00786744">
              <w:rPr>
                <w:rFonts w:ascii="Oswald" w:hAnsi="Oswald"/>
                <w:color w:val="808080" w:themeColor="background1" w:themeShade="80"/>
                <w:sz w:val="16"/>
                <w:szCs w:val="16"/>
              </w:rPr>
              <w:t xml:space="preserve">Stránka </w:t>
            </w:r>
            <w:proofErr w:type="gramEnd"/>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PAGE</w:instrText>
            </w:r>
            <w:r w:rsidRPr="00786744">
              <w:rPr>
                <w:rFonts w:ascii="Oswald" w:hAnsi="Oswald"/>
                <w:bCs/>
                <w:color w:val="808080" w:themeColor="background1" w:themeShade="80"/>
                <w:sz w:val="16"/>
                <w:szCs w:val="16"/>
              </w:rPr>
              <w:fldChar w:fldCharType="separate"/>
            </w:r>
            <w:r w:rsidR="00E62AC2">
              <w:rPr>
                <w:rFonts w:ascii="Oswald" w:hAnsi="Oswald"/>
                <w:bCs/>
                <w:noProof/>
                <w:color w:val="808080" w:themeColor="background1" w:themeShade="80"/>
                <w:sz w:val="16"/>
                <w:szCs w:val="16"/>
              </w:rPr>
              <w:t>4</w:t>
            </w:r>
            <w:r w:rsidRPr="00786744">
              <w:rPr>
                <w:rFonts w:ascii="Oswald" w:hAnsi="Oswald"/>
                <w:bCs/>
                <w:color w:val="808080" w:themeColor="background1" w:themeShade="80"/>
                <w:sz w:val="16"/>
                <w:szCs w:val="16"/>
              </w:rPr>
              <w:fldChar w:fldCharType="end"/>
            </w:r>
            <w:proofErr w:type="gramStart"/>
            <w:r w:rsidRPr="00786744">
              <w:rPr>
                <w:rFonts w:ascii="Oswald" w:hAnsi="Oswald"/>
                <w:color w:val="808080" w:themeColor="background1" w:themeShade="80"/>
                <w:sz w:val="16"/>
                <w:szCs w:val="16"/>
              </w:rPr>
              <w:t xml:space="preserve"> z </w:t>
            </w:r>
            <w:proofErr w:type="gramEnd"/>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NUMPAGES</w:instrText>
            </w:r>
            <w:r w:rsidRPr="00786744">
              <w:rPr>
                <w:rFonts w:ascii="Oswald" w:hAnsi="Oswald"/>
                <w:bCs/>
                <w:color w:val="808080" w:themeColor="background1" w:themeShade="80"/>
                <w:sz w:val="16"/>
                <w:szCs w:val="16"/>
              </w:rPr>
              <w:fldChar w:fldCharType="separate"/>
            </w:r>
            <w:r w:rsidR="00E62AC2">
              <w:rPr>
                <w:rFonts w:ascii="Oswald" w:hAnsi="Oswald"/>
                <w:bCs/>
                <w:noProof/>
                <w:color w:val="808080" w:themeColor="background1" w:themeShade="80"/>
                <w:sz w:val="16"/>
                <w:szCs w:val="16"/>
              </w:rPr>
              <w:t>4</w:t>
            </w:r>
            <w:r w:rsidRPr="00786744">
              <w:rPr>
                <w:rFonts w:ascii="Oswald" w:hAnsi="Oswald"/>
                <w:bCs/>
                <w:color w:val="808080" w:themeColor="background1" w:themeShade="80"/>
                <w:sz w:val="16"/>
                <w:szCs w:val="16"/>
              </w:rPr>
              <w:fldChar w:fldCharType="end"/>
            </w:r>
          </w:p>
        </w:sdtContent>
      </w:sdt>
    </w:sdtContent>
  </w:sdt>
  <w:p w:rsidR="00A53006" w:rsidRPr="00786744" w:rsidRDefault="00A53006" w:rsidP="00A53006">
    <w:pPr>
      <w:pStyle w:val="Zpat"/>
      <w:jc w:val="center"/>
      <w:rPr>
        <w:rFonts w:ascii="Oswald" w:hAnsi="Oswald"/>
        <w:color w:val="808080" w:themeColor="background1" w:themeShade="80"/>
        <w:sz w:val="16"/>
        <w:szCs w:val="16"/>
      </w:rPr>
    </w:pPr>
  </w:p>
  <w:p w:rsidR="00A53006" w:rsidRPr="00786744" w:rsidRDefault="002E4134"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 </w:t>
    </w:r>
    <w:r w:rsidR="00A53006" w:rsidRPr="00786744">
      <w:rPr>
        <w:rFonts w:ascii="Oswald" w:hAnsi="Oswald"/>
        <w:color w:val="808080" w:themeColor="background1" w:themeShade="80"/>
        <w:sz w:val="16"/>
        <w:szCs w:val="16"/>
      </w:rPr>
      <w:t xml:space="preserve">Transparency International </w:t>
    </w:r>
    <w:r w:rsidR="00C23101" w:rsidRPr="00786744">
      <w:rPr>
        <w:rFonts w:ascii="Oswald" w:hAnsi="Oswald"/>
        <w:color w:val="808080" w:themeColor="background1" w:themeShade="80"/>
        <w:sz w:val="16"/>
        <w:szCs w:val="16"/>
      </w:rPr>
      <w:t xml:space="preserve">- </w:t>
    </w:r>
    <w:r w:rsidR="00A53006" w:rsidRPr="00786744">
      <w:rPr>
        <w:rFonts w:ascii="Oswald" w:hAnsi="Oswald"/>
        <w:color w:val="808080" w:themeColor="background1" w:themeShade="80"/>
        <w:sz w:val="16"/>
        <w:szCs w:val="16"/>
      </w:rPr>
      <w:t xml:space="preserve">Česká republika, o. p. s. | Sokolovská 260/143, 180 00 Praha 8, Česká republika | </w:t>
    </w:r>
  </w:p>
  <w:p w:rsidR="00A53006" w:rsidRPr="00786744" w:rsidRDefault="00A53006"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Tel: +420 224 240 895-7 | posta@transparency.cz | www.transparency.cz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03E" w:rsidRDefault="00E9303E" w:rsidP="00A53006">
      <w:r>
        <w:separator/>
      </w:r>
    </w:p>
  </w:footnote>
  <w:footnote w:type="continuationSeparator" w:id="0">
    <w:p w:rsidR="00E9303E" w:rsidRDefault="00E9303E" w:rsidP="00A5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06" w:rsidRDefault="00A53006" w:rsidP="00A53006">
    <w:pPr>
      <w:pStyle w:val="Zhlav"/>
      <w:tabs>
        <w:tab w:val="clear" w:pos="4536"/>
        <w:tab w:val="clear" w:pos="9072"/>
        <w:tab w:val="left" w:pos="4020"/>
      </w:tabs>
    </w:pPr>
    <w:r>
      <w:rPr>
        <w:noProof/>
        <w:lang w:eastAsia="cs-CZ"/>
      </w:rPr>
      <w:drawing>
        <wp:anchor distT="0" distB="0" distL="114300" distR="114300" simplePos="0" relativeHeight="251658240" behindDoc="1" locked="0" layoutInCell="1" allowOverlap="1" wp14:anchorId="2D730FC9" wp14:editId="32315FA5">
          <wp:simplePos x="0" y="0"/>
          <wp:positionH relativeFrom="column">
            <wp:posOffset>-52070</wp:posOffset>
          </wp:positionH>
          <wp:positionV relativeFrom="paragraph">
            <wp:posOffset>7620</wp:posOffset>
          </wp:positionV>
          <wp:extent cx="1962150" cy="285750"/>
          <wp:effectExtent l="0" t="0" r="0" b="0"/>
          <wp:wrapTight wrapText="bothSides">
            <wp:wrapPolygon edited="0">
              <wp:start x="0" y="0"/>
              <wp:lineTo x="0" y="20160"/>
              <wp:lineTo x="21390" y="20160"/>
              <wp:lineTo x="2139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TI Č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285750"/>
                  </a:xfrm>
                  <a:prstGeom prst="rect">
                    <a:avLst/>
                  </a:prstGeom>
                </pic:spPr>
              </pic:pic>
            </a:graphicData>
          </a:graphic>
          <wp14:sizeRelH relativeFrom="page">
            <wp14:pctWidth>0</wp14:pctWidth>
          </wp14:sizeRelH>
          <wp14:sizeRelV relativeFrom="page">
            <wp14:pctHeight>0</wp14:pctHeight>
          </wp14:sizeRelV>
        </wp:anchor>
      </w:drawing>
    </w:r>
    <w:r>
      <w:tab/>
    </w:r>
  </w:p>
  <w:p w:rsidR="00A53006" w:rsidRDefault="00A53006" w:rsidP="00A53006">
    <w:pPr>
      <w:pStyle w:val="Zhlav"/>
      <w:tabs>
        <w:tab w:val="clear" w:pos="4536"/>
        <w:tab w:val="clear" w:pos="9072"/>
        <w:tab w:val="left" w:pos="4020"/>
      </w:tabs>
    </w:pPr>
  </w:p>
  <w:p w:rsidR="00A53006" w:rsidRPr="002E4134" w:rsidRDefault="006538FF" w:rsidP="00A53006">
    <w:pPr>
      <w:pStyle w:val="Zhlav"/>
      <w:tabs>
        <w:tab w:val="clear" w:pos="4536"/>
        <w:tab w:val="clear" w:pos="9072"/>
        <w:tab w:val="left" w:pos="4020"/>
      </w:tabs>
      <w:rPr>
        <w:rFonts w:ascii="Oswald" w:hAnsi="Oswald"/>
        <w:i/>
        <w:color w:val="0065B3"/>
        <w:sz w:val="20"/>
        <w:szCs w:val="20"/>
      </w:rPr>
    </w:pPr>
    <w:r>
      <w:rPr>
        <w:rFonts w:ascii="Oswald" w:hAnsi="Oswald"/>
        <w:i/>
        <w:color w:val="0065B3"/>
        <w:sz w:val="20"/>
        <w:szCs w:val="20"/>
      </w:rPr>
      <w:t>„</w:t>
    </w:r>
    <w:r w:rsidR="00A53006" w:rsidRPr="002E4134">
      <w:rPr>
        <w:rFonts w:ascii="Oswald" w:hAnsi="Oswald"/>
        <w:i/>
        <w:color w:val="0065B3"/>
        <w:sz w:val="20"/>
        <w:szCs w:val="20"/>
      </w:rPr>
      <w:t>Hlídáme veřejný zájem, hájíme efektivní a odpovědnou správu země.</w:t>
    </w:r>
    <w:r>
      <w:rPr>
        <w:rFonts w:ascii="Oswald" w:hAnsi="Oswald"/>
        <w:i/>
        <w:color w:val="0065B3"/>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F84"/>
    <w:multiLevelType w:val="hybridMultilevel"/>
    <w:tmpl w:val="4554FE5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95D7785"/>
    <w:multiLevelType w:val="hybridMultilevel"/>
    <w:tmpl w:val="F9A48F6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5D705EBC"/>
    <w:multiLevelType w:val="hybridMultilevel"/>
    <w:tmpl w:val="F7BEDC34"/>
    <w:lvl w:ilvl="0" w:tplc="A964DC0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06"/>
    <w:rsid w:val="0002225D"/>
    <w:rsid w:val="00026D61"/>
    <w:rsid w:val="000911EA"/>
    <w:rsid w:val="00123ADA"/>
    <w:rsid w:val="001B71D2"/>
    <w:rsid w:val="00242CF9"/>
    <w:rsid w:val="002A4884"/>
    <w:rsid w:val="002E4134"/>
    <w:rsid w:val="00402B58"/>
    <w:rsid w:val="00445F84"/>
    <w:rsid w:val="00562004"/>
    <w:rsid w:val="00585C70"/>
    <w:rsid w:val="00590AF9"/>
    <w:rsid w:val="005B72BE"/>
    <w:rsid w:val="006439D8"/>
    <w:rsid w:val="006538FF"/>
    <w:rsid w:val="0066337A"/>
    <w:rsid w:val="007457A9"/>
    <w:rsid w:val="007558D4"/>
    <w:rsid w:val="00786744"/>
    <w:rsid w:val="007C6326"/>
    <w:rsid w:val="007F17D6"/>
    <w:rsid w:val="00817E07"/>
    <w:rsid w:val="00834BC4"/>
    <w:rsid w:val="00897335"/>
    <w:rsid w:val="00922A58"/>
    <w:rsid w:val="00952640"/>
    <w:rsid w:val="00960D2E"/>
    <w:rsid w:val="00966C16"/>
    <w:rsid w:val="00A00B64"/>
    <w:rsid w:val="00A128BA"/>
    <w:rsid w:val="00A5140D"/>
    <w:rsid w:val="00A53006"/>
    <w:rsid w:val="00AF4984"/>
    <w:rsid w:val="00B3007C"/>
    <w:rsid w:val="00B31C86"/>
    <w:rsid w:val="00B57E08"/>
    <w:rsid w:val="00B918BD"/>
    <w:rsid w:val="00BF31E1"/>
    <w:rsid w:val="00C121A2"/>
    <w:rsid w:val="00C23101"/>
    <w:rsid w:val="00C3050F"/>
    <w:rsid w:val="00C53C42"/>
    <w:rsid w:val="00C8793C"/>
    <w:rsid w:val="00CA72FB"/>
    <w:rsid w:val="00CE17EF"/>
    <w:rsid w:val="00E3338E"/>
    <w:rsid w:val="00E41477"/>
    <w:rsid w:val="00E62AC2"/>
    <w:rsid w:val="00E9303E"/>
    <w:rsid w:val="00F24C42"/>
    <w:rsid w:val="00F5080A"/>
    <w:rsid w:val="00FB4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99"/>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paragraph" w:styleId="Nzev">
    <w:name w:val="Title"/>
    <w:basedOn w:val="Normln"/>
    <w:next w:val="Normln"/>
    <w:link w:val="NzevChar"/>
    <w:uiPriority w:val="10"/>
    <w:qFormat/>
    <w:rsid w:val="00A00B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uiPriority w:val="10"/>
    <w:rsid w:val="00A00B64"/>
    <w:rPr>
      <w:rFonts w:asciiTheme="majorHAnsi" w:eastAsiaTheme="majorEastAsia" w:hAnsiTheme="majorHAnsi" w:cstheme="majorBidi"/>
      <w:color w:val="17365D" w:themeColor="text2" w:themeShade="BF"/>
      <w:spacing w:val="5"/>
      <w:kern w:val="28"/>
      <w:sz w:val="52"/>
      <w:szCs w:val="52"/>
    </w:rPr>
  </w:style>
  <w:style w:type="paragraph" w:styleId="Textpoznpodarou">
    <w:name w:val="footnote text"/>
    <w:basedOn w:val="Normln"/>
    <w:link w:val="TextpoznpodarouChar"/>
    <w:uiPriority w:val="99"/>
    <w:semiHidden/>
    <w:unhideWhenUsed/>
    <w:rsid w:val="00A00B64"/>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A00B64"/>
    <w:rPr>
      <w:sz w:val="20"/>
      <w:szCs w:val="20"/>
    </w:rPr>
  </w:style>
  <w:style w:type="character" w:styleId="Znakapoznpodarou">
    <w:name w:val="footnote reference"/>
    <w:basedOn w:val="Standardnpsmoodstavce"/>
    <w:uiPriority w:val="99"/>
    <w:semiHidden/>
    <w:unhideWhenUsed/>
    <w:rsid w:val="00A00B64"/>
    <w:rPr>
      <w:vertAlign w:val="superscript"/>
    </w:rPr>
  </w:style>
  <w:style w:type="paragraph" w:styleId="Normlnweb">
    <w:name w:val="Normal (Web)"/>
    <w:basedOn w:val="Normln"/>
    <w:uiPriority w:val="99"/>
    <w:unhideWhenUsed/>
    <w:rsid w:val="00834BC4"/>
    <w:pPr>
      <w:spacing w:before="100" w:beforeAutospacing="1" w:after="100" w:afterAutospacing="1"/>
    </w:pPr>
  </w:style>
  <w:style w:type="character" w:styleId="Zvraznn">
    <w:name w:val="Emphasis"/>
    <w:basedOn w:val="Standardnpsmoodstavce"/>
    <w:uiPriority w:val="20"/>
    <w:qFormat/>
    <w:rsid w:val="00834B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99"/>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paragraph" w:styleId="Nzev">
    <w:name w:val="Title"/>
    <w:basedOn w:val="Normln"/>
    <w:next w:val="Normln"/>
    <w:link w:val="NzevChar"/>
    <w:uiPriority w:val="10"/>
    <w:qFormat/>
    <w:rsid w:val="00A00B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uiPriority w:val="10"/>
    <w:rsid w:val="00A00B64"/>
    <w:rPr>
      <w:rFonts w:asciiTheme="majorHAnsi" w:eastAsiaTheme="majorEastAsia" w:hAnsiTheme="majorHAnsi" w:cstheme="majorBidi"/>
      <w:color w:val="17365D" w:themeColor="text2" w:themeShade="BF"/>
      <w:spacing w:val="5"/>
      <w:kern w:val="28"/>
      <w:sz w:val="52"/>
      <w:szCs w:val="52"/>
    </w:rPr>
  </w:style>
  <w:style w:type="paragraph" w:styleId="Textpoznpodarou">
    <w:name w:val="footnote text"/>
    <w:basedOn w:val="Normln"/>
    <w:link w:val="TextpoznpodarouChar"/>
    <w:uiPriority w:val="99"/>
    <w:semiHidden/>
    <w:unhideWhenUsed/>
    <w:rsid w:val="00A00B64"/>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A00B64"/>
    <w:rPr>
      <w:sz w:val="20"/>
      <w:szCs w:val="20"/>
    </w:rPr>
  </w:style>
  <w:style w:type="character" w:styleId="Znakapoznpodarou">
    <w:name w:val="footnote reference"/>
    <w:basedOn w:val="Standardnpsmoodstavce"/>
    <w:uiPriority w:val="99"/>
    <w:semiHidden/>
    <w:unhideWhenUsed/>
    <w:rsid w:val="00A00B64"/>
    <w:rPr>
      <w:vertAlign w:val="superscript"/>
    </w:rPr>
  </w:style>
  <w:style w:type="paragraph" w:styleId="Normlnweb">
    <w:name w:val="Normal (Web)"/>
    <w:basedOn w:val="Normln"/>
    <w:uiPriority w:val="99"/>
    <w:unhideWhenUsed/>
    <w:rsid w:val="00834BC4"/>
    <w:pPr>
      <w:spacing w:before="100" w:beforeAutospacing="1" w:after="100" w:afterAutospacing="1"/>
    </w:pPr>
  </w:style>
  <w:style w:type="character" w:styleId="Zvraznn">
    <w:name w:val="Emphasis"/>
    <w:basedOn w:val="Standardnpsmoodstavce"/>
    <w:uiPriority w:val="20"/>
    <w:qFormat/>
    <w:rsid w:val="00834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cy.cz/cpi2016/" TargetMode="External"/><Relationship Id="rId13" Type="http://schemas.openxmlformats.org/officeDocument/2006/relationships/hyperlink" Target="https://www.transparency.cz/wp-content/uploads/CPI-2016-Nej%C4%8Dast%C4%9Bji-kladen%C3%A9-dotazy.pdf" TargetMode="External"/><Relationship Id="rId18" Type="http://schemas.openxmlformats.org/officeDocument/2006/relationships/hyperlink" Target="http://www.transparency.org/cpi"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ransparency.cz/wp-content/uploads/CPI-2016-World-Map-And-Country-Results.pdf" TargetMode="External"/><Relationship Id="rId17" Type="http://schemas.openxmlformats.org/officeDocument/2006/relationships/hyperlink" Target="http://www.transparency.cz/cpi2016"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transparency.cz/wp-content/uploads/CPI-2016-Prezentace.pptx" TargetMode="External"/><Relationship Id="rId20" Type="http://schemas.openxmlformats.org/officeDocument/2006/relationships/hyperlink" Target="mailto:ondracka@transparency.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ransparency.cz/wp-content/uploads/CPI-2016-EU.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ransparency.cz/wp-content/uploads/CPI-2016-Podrobn%C4%9B.xls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transparency.cz/cpi2016/" TargetMode="External"/><Relationship Id="rId19" Type="http://schemas.openxmlformats.org/officeDocument/2006/relationships/hyperlink" Target="http://www.transparency.cz/david-ondracka-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transparency.cz/wp-content/uploads/CPI-2016-Stru%C4%8Dn%C3%A1-metodologick%C3%A1-pozn%C3%A1mka.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1439</Words>
  <Characters>8491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Kotora</dc:creator>
  <cp:lastModifiedBy>David Kotora</cp:lastModifiedBy>
  <cp:revision>40</cp:revision>
  <cp:lastPrinted>2017-01-24T15:55:00Z</cp:lastPrinted>
  <dcterms:created xsi:type="dcterms:W3CDTF">2015-01-21T14:46:00Z</dcterms:created>
  <dcterms:modified xsi:type="dcterms:W3CDTF">2017-01-25T06:27:00Z</dcterms:modified>
</cp:coreProperties>
</file>