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FA9" w:rsidRDefault="00F82FA9" w:rsidP="00F82FA9">
      <w:pPr>
        <w:rPr>
          <w:b/>
        </w:rPr>
      </w:pPr>
      <w:r>
        <w:rPr>
          <w:b/>
        </w:rPr>
        <w:t xml:space="preserve">TISKOVÁ ZPRÁVA TI, </w:t>
      </w:r>
      <w:r w:rsidR="00CA5C2C">
        <w:rPr>
          <w:b/>
        </w:rPr>
        <w:t>29</w:t>
      </w:r>
      <w:r>
        <w:rPr>
          <w:b/>
        </w:rPr>
        <w:t xml:space="preserve">. </w:t>
      </w:r>
      <w:r w:rsidR="00CA5C2C">
        <w:rPr>
          <w:b/>
        </w:rPr>
        <w:t>června</w:t>
      </w:r>
      <w:r>
        <w:rPr>
          <w:b/>
        </w:rPr>
        <w:t xml:space="preserve"> 2015 </w:t>
      </w:r>
    </w:p>
    <w:p w:rsidR="00F82FA9" w:rsidRDefault="000512C5" w:rsidP="00E85005">
      <w:pPr>
        <w:pStyle w:val="Vrazncitt"/>
        <w:pBdr>
          <w:bottom w:val="single" w:sz="4" w:space="3" w:color="4F81BD" w:themeColor="accent1"/>
        </w:pBdr>
        <w:ind w:left="0" w:right="26"/>
        <w:jc w:val="center"/>
        <w:rPr>
          <w:color w:val="0065B3"/>
          <w:sz w:val="28"/>
          <w:szCs w:val="28"/>
        </w:rPr>
      </w:pPr>
      <w:r>
        <w:rPr>
          <w:color w:val="0065B3"/>
          <w:sz w:val="28"/>
          <w:szCs w:val="28"/>
        </w:rPr>
        <w:t xml:space="preserve">Transparency International </w:t>
      </w:r>
      <w:r w:rsidR="00CA5C2C">
        <w:rPr>
          <w:color w:val="0065B3"/>
          <w:sz w:val="28"/>
          <w:szCs w:val="28"/>
        </w:rPr>
        <w:t>mapovala lobbing v </w:t>
      </w:r>
      <w:r w:rsidR="00622A55">
        <w:rPr>
          <w:color w:val="0065B3"/>
          <w:sz w:val="28"/>
          <w:szCs w:val="28"/>
        </w:rPr>
        <w:t xml:space="preserve">Česku </w:t>
      </w:r>
      <w:r w:rsidR="00CA5C2C">
        <w:rPr>
          <w:color w:val="0065B3"/>
          <w:sz w:val="28"/>
          <w:szCs w:val="28"/>
        </w:rPr>
        <w:t>a v </w:t>
      </w:r>
      <w:r w:rsidR="00F5603B">
        <w:rPr>
          <w:color w:val="0065B3"/>
          <w:sz w:val="28"/>
          <w:szCs w:val="28"/>
        </w:rPr>
        <w:t>Evropě:</w:t>
      </w:r>
      <w:r w:rsidR="00E85005">
        <w:rPr>
          <w:color w:val="0065B3"/>
          <w:sz w:val="28"/>
          <w:szCs w:val="28"/>
        </w:rPr>
        <w:t xml:space="preserve"> </w:t>
      </w:r>
      <w:r w:rsidR="00F5603B">
        <w:rPr>
          <w:color w:val="0065B3"/>
          <w:sz w:val="28"/>
          <w:szCs w:val="28"/>
        </w:rPr>
        <w:t xml:space="preserve">ČR potřebuje posílit transparentnost legislativního procesu a připravit </w:t>
      </w:r>
      <w:r w:rsidR="00CA5C2C">
        <w:rPr>
          <w:color w:val="0065B3"/>
          <w:sz w:val="28"/>
          <w:szCs w:val="28"/>
        </w:rPr>
        <w:t>právní regulace lobbingu</w:t>
      </w:r>
    </w:p>
    <w:p w:rsidR="00F82FA9" w:rsidRDefault="002C5121" w:rsidP="00F82FA9">
      <w:pPr>
        <w:jc w:val="both"/>
        <w:rPr>
          <w:b/>
        </w:rPr>
      </w:pPr>
      <w:r w:rsidRPr="002C5121">
        <w:rPr>
          <w:b/>
        </w:rPr>
        <w:t>Praha 2</w:t>
      </w:r>
      <w:r w:rsidR="00CA5C2C">
        <w:rPr>
          <w:b/>
        </w:rPr>
        <w:t>9. 6</w:t>
      </w:r>
      <w:r w:rsidR="00F82FA9" w:rsidRPr="002C5121">
        <w:rPr>
          <w:b/>
        </w:rPr>
        <w:t>. 2015</w:t>
      </w:r>
      <w:r w:rsidR="00F82FA9">
        <w:rPr>
          <w:b/>
        </w:rPr>
        <w:t xml:space="preserve"> - Transparency International </w:t>
      </w:r>
      <w:r w:rsidR="00CA5C2C">
        <w:rPr>
          <w:b/>
        </w:rPr>
        <w:t xml:space="preserve">mapovala lobbing a jeho regulaci v Evropě a v České republice. </w:t>
      </w:r>
      <w:r w:rsidR="000512C5">
        <w:rPr>
          <w:b/>
        </w:rPr>
        <w:t xml:space="preserve"> </w:t>
      </w:r>
    </w:p>
    <w:p w:rsidR="00E765C0" w:rsidRPr="00CA5C2C" w:rsidRDefault="00F5603B" w:rsidP="00E765C0">
      <w:pPr>
        <w:jc w:val="both"/>
        <w:rPr>
          <w:rFonts w:ascii="Calibri" w:eastAsia="Calibri" w:hAnsi="Calibri" w:cs="Times New Roman"/>
          <w:i/>
          <w:iCs/>
          <w:lang w:eastAsia="en-US"/>
        </w:rPr>
      </w:pPr>
      <w:r w:rsidRPr="00E765C0">
        <w:rPr>
          <w:i/>
          <w:iCs/>
        </w:rPr>
        <w:t>Téměř 90</w:t>
      </w:r>
      <w:r w:rsidR="00822290">
        <w:rPr>
          <w:i/>
          <w:iCs/>
        </w:rPr>
        <w:t xml:space="preserve"> </w:t>
      </w:r>
      <w:r w:rsidRPr="00E765C0">
        <w:rPr>
          <w:i/>
          <w:iCs/>
        </w:rPr>
        <w:t xml:space="preserve">% českých občanů se domnívá, že vazby mezi podnikáním a politikou jsou příliš úzké, a více než dvě třetiny </w:t>
      </w:r>
      <w:r w:rsidR="008C3A22">
        <w:rPr>
          <w:i/>
          <w:iCs/>
        </w:rPr>
        <w:t>z nich</w:t>
      </w:r>
      <w:r w:rsidR="00822290" w:rsidRPr="00E765C0">
        <w:rPr>
          <w:i/>
          <w:iCs/>
        </w:rPr>
        <w:t xml:space="preserve"> </w:t>
      </w:r>
      <w:r w:rsidRPr="00E765C0">
        <w:rPr>
          <w:i/>
          <w:iCs/>
        </w:rPr>
        <w:t>j</w:t>
      </w:r>
      <w:r w:rsidR="00822290">
        <w:rPr>
          <w:i/>
          <w:iCs/>
        </w:rPr>
        <w:t>sou</w:t>
      </w:r>
      <w:r w:rsidRPr="00E765C0">
        <w:rPr>
          <w:i/>
          <w:iCs/>
        </w:rPr>
        <w:t xml:space="preserve"> </w:t>
      </w:r>
      <w:r w:rsidR="00822290" w:rsidRPr="00E765C0">
        <w:rPr>
          <w:i/>
          <w:iCs/>
        </w:rPr>
        <w:t>přesvědčen</w:t>
      </w:r>
      <w:r w:rsidR="00822290">
        <w:rPr>
          <w:i/>
          <w:iCs/>
        </w:rPr>
        <w:t>y</w:t>
      </w:r>
      <w:r w:rsidRPr="00E765C0">
        <w:rPr>
          <w:i/>
          <w:iCs/>
        </w:rPr>
        <w:t>, že jediný způsob, jak uspět v podnikání, je pros</w:t>
      </w:r>
      <w:r w:rsidR="005033DF">
        <w:rPr>
          <w:i/>
          <w:iCs/>
        </w:rPr>
        <w:t>třednictvím politických konexí</w:t>
      </w:r>
      <w:r w:rsidRPr="00E765C0">
        <w:rPr>
          <w:i/>
          <w:iCs/>
        </w:rPr>
        <w:t>.</w:t>
      </w:r>
      <w:r w:rsidR="00E765C0" w:rsidRPr="00E765C0">
        <w:rPr>
          <w:rFonts w:ascii="Calibri" w:eastAsia="Calibri" w:hAnsi="Calibri" w:cs="Times New Roman"/>
          <w:b/>
          <w:iCs/>
          <w:lang w:eastAsia="en-US"/>
        </w:rPr>
        <w:t xml:space="preserve"> </w:t>
      </w:r>
      <w:r w:rsidR="00E765C0">
        <w:rPr>
          <w:rFonts w:ascii="Calibri" w:eastAsia="Calibri" w:hAnsi="Calibri" w:cs="Times New Roman"/>
          <w:b/>
          <w:iCs/>
          <w:lang w:eastAsia="en-US"/>
        </w:rPr>
        <w:t xml:space="preserve"> </w:t>
      </w:r>
      <w:r w:rsidR="00E765C0" w:rsidRPr="00CA5C2C">
        <w:rPr>
          <w:rFonts w:ascii="Calibri" w:eastAsia="Calibri" w:hAnsi="Calibri" w:cs="Times New Roman"/>
          <w:b/>
          <w:i/>
          <w:iCs/>
          <w:lang w:eastAsia="en-US"/>
        </w:rPr>
        <w:t>O tom, kdo, jak a koho lobuje, však ví veřejnost stále velmi málo</w:t>
      </w:r>
      <w:r w:rsidR="008C3A22">
        <w:rPr>
          <w:rFonts w:ascii="Calibri" w:eastAsia="Calibri" w:hAnsi="Calibri" w:cs="Times New Roman"/>
          <w:b/>
          <w:i/>
          <w:iCs/>
          <w:lang w:eastAsia="en-US"/>
        </w:rPr>
        <w:t xml:space="preserve">, jak ukazují nedávné diskuse okolo zákona o pojišťovnictví či zákona o hazardu. </w:t>
      </w:r>
    </w:p>
    <w:p w:rsidR="00E765C0" w:rsidRPr="00E765C0" w:rsidRDefault="00E765C0" w:rsidP="00F81D9A">
      <w:pPr>
        <w:jc w:val="both"/>
        <w:rPr>
          <w:rFonts w:ascii="Calibri" w:eastAsia="Calibri" w:hAnsi="Calibri" w:cs="Times New Roman"/>
          <w:b/>
          <w:iCs/>
          <w:sz w:val="24"/>
          <w:szCs w:val="24"/>
          <w:u w:val="single"/>
          <w:lang w:eastAsia="en-US"/>
        </w:rPr>
      </w:pPr>
      <w:r w:rsidRPr="00E765C0">
        <w:rPr>
          <w:rFonts w:ascii="Calibri" w:eastAsia="Calibri" w:hAnsi="Calibri" w:cs="Times New Roman"/>
          <w:b/>
          <w:iCs/>
          <w:sz w:val="24"/>
          <w:szCs w:val="24"/>
          <w:u w:val="single"/>
          <w:lang w:eastAsia="en-US"/>
        </w:rPr>
        <w:t>Lobbing v Evropě</w:t>
      </w:r>
    </w:p>
    <w:p w:rsidR="00F81D9A" w:rsidRPr="00E765C0" w:rsidRDefault="00F81D9A" w:rsidP="00F81D9A">
      <w:pPr>
        <w:jc w:val="both"/>
        <w:rPr>
          <w:iCs/>
        </w:rPr>
      </w:pPr>
      <w:r w:rsidRPr="00E765C0">
        <w:rPr>
          <w:iCs/>
        </w:rPr>
        <w:t xml:space="preserve">Jaký velký je objem registrovaného lobbingu? V Bruselu pracuje na 700 lobbistů, 10 největších lobbistických firem registrovaných na úrovni EU utratilo na lobbing 39 mil. € </w:t>
      </w:r>
      <w:r w:rsidR="008C3A22">
        <w:rPr>
          <w:iCs/>
        </w:rPr>
        <w:t>v loňské</w:t>
      </w:r>
      <w:r w:rsidR="00687799">
        <w:rPr>
          <w:iCs/>
        </w:rPr>
        <w:t>m</w:t>
      </w:r>
      <w:r w:rsidR="008C3A22">
        <w:rPr>
          <w:iCs/>
        </w:rPr>
        <w:t xml:space="preserve"> roce</w:t>
      </w:r>
      <w:r w:rsidRPr="00E765C0">
        <w:rPr>
          <w:iCs/>
        </w:rPr>
        <w:t xml:space="preserve">.  Nicméně odhady hovoří až o 91 mil. € utracených za lobbing pouze </w:t>
      </w:r>
      <w:r w:rsidR="008C3A22">
        <w:rPr>
          <w:iCs/>
        </w:rPr>
        <w:t xml:space="preserve">u </w:t>
      </w:r>
      <w:r w:rsidRPr="00E765C0">
        <w:rPr>
          <w:iCs/>
        </w:rPr>
        <w:t>farmaceutických firem, u finančního sektoru se výdaje odhadují na 120 mil. €.</w:t>
      </w:r>
      <w:r w:rsidR="00E85005">
        <w:rPr>
          <w:iCs/>
        </w:rPr>
        <w:t xml:space="preserve"> Nejvě</w:t>
      </w:r>
      <w:r w:rsidR="00822290">
        <w:rPr>
          <w:iCs/>
        </w:rPr>
        <w:t>t</w:t>
      </w:r>
      <w:r w:rsidR="00E85005">
        <w:rPr>
          <w:iCs/>
        </w:rPr>
        <w:t>ší rozpočet na lobbing uvádějí firmy Microsoft, Shell a</w:t>
      </w:r>
      <w:r w:rsidR="008C3A22">
        <w:rPr>
          <w:iCs/>
        </w:rPr>
        <w:t xml:space="preserve"> </w:t>
      </w:r>
      <w:proofErr w:type="spellStart"/>
      <w:r w:rsidR="00E85005">
        <w:rPr>
          <w:iCs/>
        </w:rPr>
        <w:t>ExxonMobil</w:t>
      </w:r>
      <w:proofErr w:type="spellEnd"/>
      <w:r w:rsidR="00E85005">
        <w:rPr>
          <w:iCs/>
        </w:rPr>
        <w:t xml:space="preserve"> (4,5 mil. €).</w:t>
      </w:r>
    </w:p>
    <w:p w:rsidR="005033DF" w:rsidRPr="005033DF" w:rsidRDefault="005033DF" w:rsidP="005033DF">
      <w:pPr>
        <w:jc w:val="both"/>
        <w:rPr>
          <w:rFonts w:eastAsiaTheme="minorHAnsi" w:cs="Times New Roman"/>
          <w:sz w:val="24"/>
          <w:szCs w:val="24"/>
          <w:lang w:eastAsia="en-US"/>
        </w:rPr>
      </w:pPr>
      <w:r w:rsidRPr="005033DF">
        <w:rPr>
          <w:rFonts w:eastAsiaTheme="minorHAnsi" w:cs="Times New Roman"/>
          <w:sz w:val="24"/>
          <w:szCs w:val="24"/>
          <w:lang w:eastAsia="en-US"/>
        </w:rPr>
        <w:t>Evropská komise nahlásila 4 318 schůzek mez</w:t>
      </w:r>
      <w:r w:rsidR="00822290">
        <w:rPr>
          <w:rFonts w:eastAsiaTheme="minorHAnsi" w:cs="Times New Roman"/>
          <w:sz w:val="24"/>
          <w:szCs w:val="24"/>
          <w:lang w:eastAsia="en-US"/>
        </w:rPr>
        <w:t>i</w:t>
      </w:r>
      <w:r w:rsidRPr="005033DF">
        <w:rPr>
          <w:rFonts w:eastAsiaTheme="minorHAnsi" w:cs="Times New Roman"/>
          <w:sz w:val="24"/>
          <w:szCs w:val="24"/>
          <w:lang w:eastAsia="en-US"/>
        </w:rPr>
        <w:t xml:space="preserve"> prosincem</w:t>
      </w:r>
      <w:r w:rsidR="00822290">
        <w:rPr>
          <w:rFonts w:eastAsiaTheme="minorHAnsi" w:cs="Times New Roman"/>
          <w:sz w:val="24"/>
          <w:szCs w:val="24"/>
          <w:lang w:eastAsia="en-US"/>
        </w:rPr>
        <w:t xml:space="preserve"> 2014</w:t>
      </w:r>
      <w:r w:rsidRPr="005033DF">
        <w:rPr>
          <w:rFonts w:eastAsiaTheme="minorHAnsi" w:cs="Times New Roman"/>
          <w:sz w:val="24"/>
          <w:szCs w:val="24"/>
          <w:lang w:eastAsia="en-US"/>
        </w:rPr>
        <w:t xml:space="preserve"> a červnem 2015, z nichž více než 75</w:t>
      </w:r>
      <w:r w:rsidR="00822290">
        <w:rPr>
          <w:rFonts w:eastAsiaTheme="minorHAnsi" w:cs="Times New Roman"/>
          <w:sz w:val="24"/>
          <w:szCs w:val="24"/>
          <w:lang w:eastAsia="en-US"/>
        </w:rPr>
        <w:t xml:space="preserve"> </w:t>
      </w:r>
      <w:r w:rsidRPr="005033DF">
        <w:rPr>
          <w:rFonts w:eastAsiaTheme="minorHAnsi" w:cs="Times New Roman"/>
          <w:sz w:val="24"/>
          <w:szCs w:val="24"/>
          <w:lang w:eastAsia="en-US"/>
        </w:rPr>
        <w:t>% bylo s korporátními lobbisty. 18</w:t>
      </w:r>
      <w:r w:rsidR="00822290">
        <w:rPr>
          <w:rFonts w:eastAsiaTheme="minorHAnsi" w:cs="Times New Roman"/>
          <w:sz w:val="24"/>
          <w:szCs w:val="24"/>
          <w:lang w:eastAsia="en-US"/>
        </w:rPr>
        <w:t xml:space="preserve"> </w:t>
      </w:r>
      <w:r w:rsidRPr="005033DF">
        <w:rPr>
          <w:rFonts w:eastAsiaTheme="minorHAnsi" w:cs="Times New Roman"/>
          <w:sz w:val="24"/>
          <w:szCs w:val="24"/>
          <w:lang w:eastAsia="en-US"/>
        </w:rPr>
        <w:t xml:space="preserve">% schůzek </w:t>
      </w:r>
      <w:r w:rsidR="008C3A22">
        <w:rPr>
          <w:rFonts w:eastAsiaTheme="minorHAnsi" w:cs="Times New Roman"/>
          <w:sz w:val="24"/>
          <w:szCs w:val="24"/>
          <w:lang w:eastAsia="en-US"/>
        </w:rPr>
        <w:t>proběhlo</w:t>
      </w:r>
      <w:r w:rsidR="008C3A22" w:rsidRPr="005033DF">
        <w:rPr>
          <w:rFonts w:eastAsiaTheme="minorHAnsi" w:cs="Times New Roman"/>
          <w:sz w:val="24"/>
          <w:szCs w:val="24"/>
          <w:lang w:eastAsia="en-US"/>
        </w:rPr>
        <w:t xml:space="preserve"> </w:t>
      </w:r>
      <w:r w:rsidRPr="005033DF">
        <w:rPr>
          <w:rFonts w:eastAsiaTheme="minorHAnsi" w:cs="Times New Roman"/>
          <w:sz w:val="24"/>
          <w:szCs w:val="24"/>
          <w:lang w:eastAsia="en-US"/>
        </w:rPr>
        <w:t>s neziskovými organizacemi, 4</w:t>
      </w:r>
      <w:r w:rsidR="00822290">
        <w:rPr>
          <w:rFonts w:eastAsiaTheme="minorHAnsi" w:cs="Times New Roman"/>
          <w:sz w:val="24"/>
          <w:szCs w:val="24"/>
          <w:lang w:eastAsia="en-US"/>
        </w:rPr>
        <w:t xml:space="preserve"> </w:t>
      </w:r>
      <w:r w:rsidRPr="005033DF">
        <w:rPr>
          <w:rFonts w:eastAsiaTheme="minorHAnsi" w:cs="Times New Roman"/>
          <w:sz w:val="24"/>
          <w:szCs w:val="24"/>
          <w:lang w:eastAsia="en-US"/>
        </w:rPr>
        <w:t>% s </w:t>
      </w:r>
      <w:proofErr w:type="spellStart"/>
      <w:r w:rsidRPr="005033DF">
        <w:rPr>
          <w:rFonts w:eastAsiaTheme="minorHAnsi" w:cs="Times New Roman"/>
          <w:sz w:val="24"/>
          <w:szCs w:val="24"/>
          <w:lang w:eastAsia="en-US"/>
        </w:rPr>
        <w:t>think</w:t>
      </w:r>
      <w:proofErr w:type="spellEnd"/>
      <w:r w:rsidRPr="005033DF">
        <w:rPr>
          <w:rFonts w:eastAsiaTheme="minorHAnsi" w:cs="Times New Roman"/>
          <w:sz w:val="24"/>
          <w:szCs w:val="24"/>
          <w:lang w:eastAsia="en-US"/>
        </w:rPr>
        <w:t xml:space="preserve"> tanky a 2</w:t>
      </w:r>
      <w:r w:rsidR="00822290">
        <w:rPr>
          <w:rFonts w:eastAsiaTheme="minorHAnsi" w:cs="Times New Roman"/>
          <w:sz w:val="24"/>
          <w:szCs w:val="24"/>
          <w:lang w:eastAsia="en-US"/>
        </w:rPr>
        <w:t xml:space="preserve"> </w:t>
      </w:r>
      <w:r w:rsidRPr="005033DF">
        <w:rPr>
          <w:rFonts w:eastAsiaTheme="minorHAnsi" w:cs="Times New Roman"/>
          <w:sz w:val="24"/>
          <w:szCs w:val="24"/>
          <w:lang w:eastAsia="en-US"/>
        </w:rPr>
        <w:t xml:space="preserve">% s místními úřady. Nejvíce schůzek, mezi 25 až 29, </w:t>
      </w:r>
      <w:r w:rsidR="00822290" w:rsidRPr="005033DF">
        <w:rPr>
          <w:rFonts w:eastAsiaTheme="minorHAnsi" w:cs="Times New Roman"/>
          <w:sz w:val="24"/>
          <w:szCs w:val="24"/>
          <w:lang w:eastAsia="en-US"/>
        </w:rPr>
        <w:t>měl</w:t>
      </w:r>
      <w:r w:rsidR="00822290">
        <w:rPr>
          <w:rFonts w:eastAsiaTheme="minorHAnsi" w:cs="Times New Roman"/>
          <w:sz w:val="24"/>
          <w:szCs w:val="24"/>
          <w:lang w:eastAsia="en-US"/>
        </w:rPr>
        <w:t xml:space="preserve">y </w:t>
      </w:r>
      <w:r w:rsidRPr="005033DF">
        <w:rPr>
          <w:rFonts w:eastAsiaTheme="minorHAnsi" w:cs="Times New Roman"/>
          <w:sz w:val="24"/>
          <w:szCs w:val="24"/>
          <w:lang w:eastAsia="en-US"/>
        </w:rPr>
        <w:t xml:space="preserve">společnosti  Google, General Electric a Airbus. Celkem je registrováno 7 821 společností a z toho 4 879 se snaží ovlivnit politické rozhodnutí ve prospěch korporátních zájmů. </w:t>
      </w:r>
    </w:p>
    <w:p w:rsidR="00D11651" w:rsidRDefault="00E85005" w:rsidP="00F82FA9">
      <w:pPr>
        <w:jc w:val="both"/>
      </w:pPr>
      <w:r w:rsidRPr="00E85005">
        <w:rPr>
          <w:i/>
        </w:rPr>
        <w:t xml:space="preserve">„Aby veřejnost </w:t>
      </w:r>
      <w:r w:rsidR="00822290" w:rsidRPr="00E85005">
        <w:rPr>
          <w:i/>
        </w:rPr>
        <w:t xml:space="preserve">všechny </w:t>
      </w:r>
      <w:r w:rsidRPr="00E85005">
        <w:rPr>
          <w:i/>
        </w:rPr>
        <w:t>tyto informace získala, musí existovat právní regulace lobbingu – registr lobbistů a zveřejňování lobbistických kontaktů ze strany politiků a vysokých úředníků. Evropská komise v tom vykročila správným směrem</w:t>
      </w:r>
      <w:r w:rsidR="00822290">
        <w:rPr>
          <w:i/>
        </w:rPr>
        <w:t>,</w:t>
      </w:r>
      <w:r w:rsidRPr="00E85005">
        <w:rPr>
          <w:i/>
        </w:rPr>
        <w:t>“</w:t>
      </w:r>
      <w:r>
        <w:t xml:space="preserve"> říká Radim Bureš, programový ředitel Transparency International.</w:t>
      </w:r>
    </w:p>
    <w:p w:rsidR="00E765C0" w:rsidRPr="00E765C0" w:rsidRDefault="00CA5C2C" w:rsidP="00E765C0">
      <w:pPr>
        <w:jc w:val="both"/>
        <w:rPr>
          <w:rFonts w:ascii="Calibri" w:eastAsia="Calibri" w:hAnsi="Calibri" w:cs="Times New Roman"/>
          <w:iCs/>
          <w:sz w:val="24"/>
          <w:szCs w:val="24"/>
          <w:u w:val="single"/>
          <w:lang w:eastAsia="en-US"/>
        </w:rPr>
      </w:pPr>
      <w:r w:rsidRPr="00CA5C2C">
        <w:rPr>
          <w:rFonts w:ascii="Calibri" w:eastAsia="Calibri" w:hAnsi="Calibri" w:cs="Times New Roman"/>
          <w:b/>
          <w:iCs/>
          <w:sz w:val="24"/>
          <w:szCs w:val="24"/>
          <w:u w:val="single"/>
          <w:lang w:eastAsia="en-US"/>
        </w:rPr>
        <w:t xml:space="preserve">Závěry </w:t>
      </w:r>
      <w:r w:rsidR="00E85005">
        <w:rPr>
          <w:rFonts w:ascii="Calibri" w:eastAsia="Calibri" w:hAnsi="Calibri" w:cs="Times New Roman"/>
          <w:b/>
          <w:iCs/>
          <w:sz w:val="24"/>
          <w:szCs w:val="24"/>
          <w:u w:val="single"/>
          <w:lang w:eastAsia="en-US"/>
        </w:rPr>
        <w:t xml:space="preserve">české </w:t>
      </w:r>
      <w:r w:rsidRPr="00CA5C2C">
        <w:rPr>
          <w:rFonts w:ascii="Calibri" w:eastAsia="Calibri" w:hAnsi="Calibri" w:cs="Times New Roman"/>
          <w:b/>
          <w:iCs/>
          <w:sz w:val="24"/>
          <w:szCs w:val="24"/>
          <w:u w:val="single"/>
          <w:lang w:eastAsia="en-US"/>
        </w:rPr>
        <w:t>národní zprávy o lobbingu</w:t>
      </w:r>
      <w:r w:rsidRPr="00CA5C2C">
        <w:rPr>
          <w:rFonts w:ascii="Calibri" w:eastAsia="Calibri" w:hAnsi="Calibri" w:cs="Times New Roman"/>
          <w:iCs/>
          <w:sz w:val="24"/>
          <w:szCs w:val="24"/>
          <w:u w:val="single"/>
          <w:lang w:eastAsia="en-US"/>
        </w:rPr>
        <w:t xml:space="preserve"> </w:t>
      </w:r>
    </w:p>
    <w:p w:rsidR="00E765C0" w:rsidRPr="00F5603B" w:rsidRDefault="00E765C0" w:rsidP="00E765C0">
      <w:pPr>
        <w:jc w:val="both"/>
        <w:rPr>
          <w:rFonts w:ascii="Calibri" w:eastAsia="Calibri" w:hAnsi="Calibri" w:cs="Times New Roman"/>
          <w:b/>
          <w:i/>
          <w:lang w:eastAsia="en-US"/>
        </w:rPr>
      </w:pPr>
      <w:r w:rsidRPr="00F5603B">
        <w:rPr>
          <w:rFonts w:ascii="Calibri" w:eastAsia="Calibri" w:hAnsi="Calibri" w:cs="Times New Roman"/>
          <w:b/>
          <w:i/>
          <w:lang w:eastAsia="en-US"/>
        </w:rPr>
        <w:t>Z 19 hodnocených evropských států se Česká republika umístila na 9.</w:t>
      </w:r>
      <w:r w:rsidR="008C3A22">
        <w:rPr>
          <w:rFonts w:ascii="Calibri" w:eastAsia="Calibri" w:hAnsi="Calibri" w:cs="Times New Roman"/>
          <w:b/>
          <w:i/>
          <w:lang w:eastAsia="en-US"/>
        </w:rPr>
        <w:t xml:space="preserve"> </w:t>
      </w:r>
      <w:r w:rsidRPr="00F5603B">
        <w:rPr>
          <w:rFonts w:ascii="Calibri" w:eastAsia="Calibri" w:hAnsi="Calibri" w:cs="Times New Roman"/>
          <w:b/>
          <w:i/>
          <w:lang w:eastAsia="en-US"/>
        </w:rPr>
        <w:t>-</w:t>
      </w:r>
      <w:r w:rsidR="008C3A22">
        <w:rPr>
          <w:rFonts w:ascii="Calibri" w:eastAsia="Calibri" w:hAnsi="Calibri" w:cs="Times New Roman"/>
          <w:b/>
          <w:i/>
          <w:lang w:eastAsia="en-US"/>
        </w:rPr>
        <w:t xml:space="preserve"> </w:t>
      </w:r>
      <w:r w:rsidRPr="00F5603B">
        <w:rPr>
          <w:rFonts w:ascii="Calibri" w:eastAsia="Calibri" w:hAnsi="Calibri" w:cs="Times New Roman"/>
          <w:b/>
          <w:i/>
          <w:lang w:eastAsia="en-US"/>
        </w:rPr>
        <w:t xml:space="preserve">10. místě spolu s Estonskem, za Polskem a Bulharskem. </w:t>
      </w:r>
    </w:p>
    <w:p w:rsidR="00E765C0" w:rsidRPr="006B50C8" w:rsidRDefault="00E765C0" w:rsidP="00E765C0">
      <w:pPr>
        <w:jc w:val="both"/>
        <w:rPr>
          <w:strike/>
        </w:rPr>
      </w:pPr>
      <w:r w:rsidRPr="00785AD0">
        <w:t>Tato studie je součástí regionálního projektu zaměřeného na problematiku lobbingu, zmapování jeho využívání a zhodnocení jeho právní úpravy v 19 evropských zemích.</w:t>
      </w:r>
      <w:r>
        <w:rPr>
          <w:b/>
        </w:rPr>
        <w:t xml:space="preserve"> </w:t>
      </w:r>
      <w:r w:rsidRPr="006B50C8">
        <w:t>Národní zpráva hodnotí, do jaké míry česká právní úprava, resp. seberegulace v soukromé sféře, odpovídajícím způsobem zajišťuje</w:t>
      </w:r>
      <w:r w:rsidRPr="007500E8">
        <w:rPr>
          <w:b/>
        </w:rPr>
        <w:t xml:space="preserve"> transparentnost </w:t>
      </w:r>
      <w:r w:rsidRPr="006B50C8">
        <w:t>lobbistických aktivit a rozhodování ve veřejné správě,</w:t>
      </w:r>
      <w:r w:rsidRPr="007500E8">
        <w:rPr>
          <w:b/>
        </w:rPr>
        <w:t xml:space="preserve"> etické postupy </w:t>
      </w:r>
      <w:r w:rsidRPr="006B50C8">
        <w:t>při lobování a v chování představitelů veřejné správy a</w:t>
      </w:r>
      <w:r w:rsidRPr="007500E8">
        <w:rPr>
          <w:b/>
        </w:rPr>
        <w:t xml:space="preserve"> rovný přístup </w:t>
      </w:r>
      <w:r w:rsidRPr="006B50C8">
        <w:t>k rozhodovacím procesům ve veřejné správě.</w:t>
      </w:r>
    </w:p>
    <w:p w:rsidR="00E765C0" w:rsidRPr="00CA5C2C" w:rsidRDefault="00E765C0" w:rsidP="00E765C0">
      <w:pPr>
        <w:jc w:val="both"/>
        <w:rPr>
          <w:rFonts w:ascii="Calibri" w:eastAsia="Calibri" w:hAnsi="Calibri" w:cs="Times New Roman"/>
          <w:iCs/>
          <w:lang w:eastAsia="en-US"/>
        </w:rPr>
      </w:pPr>
      <w:r w:rsidRPr="00CA5C2C">
        <w:rPr>
          <w:rFonts w:ascii="Calibri" w:eastAsia="Calibri" w:hAnsi="Calibri" w:cs="Times New Roman"/>
          <w:iCs/>
          <w:lang w:eastAsia="en-US"/>
        </w:rPr>
        <w:lastRenderedPageBreak/>
        <w:t>Česká republika odpovídá průměru zkoumaných zemí, když dosáhla 29 %</w:t>
      </w:r>
      <w:r w:rsidR="008C3A22">
        <w:rPr>
          <w:rFonts w:ascii="Calibri" w:eastAsia="Calibri" w:hAnsi="Calibri" w:cs="Times New Roman"/>
          <w:iCs/>
          <w:lang w:eastAsia="en-US"/>
        </w:rPr>
        <w:t xml:space="preserve"> ideálního stavu daného příklady dobré praxe</w:t>
      </w:r>
      <w:r w:rsidRPr="00CA5C2C">
        <w:rPr>
          <w:rFonts w:ascii="Calibri" w:eastAsia="Calibri" w:hAnsi="Calibri" w:cs="Times New Roman"/>
          <w:iCs/>
          <w:lang w:eastAsia="en-US"/>
        </w:rPr>
        <w:t>, přičemž průměr byl 30</w:t>
      </w:r>
      <w:r w:rsidR="00822290">
        <w:rPr>
          <w:rFonts w:ascii="Calibri" w:eastAsia="Calibri" w:hAnsi="Calibri" w:cs="Times New Roman"/>
          <w:iCs/>
          <w:lang w:eastAsia="en-US"/>
        </w:rPr>
        <w:t xml:space="preserve"> </w:t>
      </w:r>
      <w:r w:rsidRPr="00CA5C2C">
        <w:rPr>
          <w:rFonts w:ascii="Calibri" w:eastAsia="Calibri" w:hAnsi="Calibri" w:cs="Times New Roman"/>
          <w:iCs/>
          <w:lang w:eastAsia="en-US"/>
        </w:rPr>
        <w:t>%. Lépe je na tom Polsko (33 %) nebo Litva (49 %), naopak za ČR zaostává řada vyspělých zemí, jako Německo (24</w:t>
      </w:r>
      <w:r w:rsidR="00822290">
        <w:rPr>
          <w:rFonts w:ascii="Calibri" w:eastAsia="Calibri" w:hAnsi="Calibri" w:cs="Times New Roman"/>
          <w:iCs/>
          <w:lang w:eastAsia="en-US"/>
        </w:rPr>
        <w:t xml:space="preserve"> </w:t>
      </w:r>
      <w:r w:rsidRPr="00CA5C2C">
        <w:rPr>
          <w:rFonts w:ascii="Calibri" w:eastAsia="Calibri" w:hAnsi="Calibri" w:cs="Times New Roman"/>
          <w:iCs/>
          <w:lang w:eastAsia="en-US"/>
        </w:rPr>
        <w:t>%) a Francie (26</w:t>
      </w:r>
      <w:r w:rsidR="00822290">
        <w:rPr>
          <w:rFonts w:ascii="Calibri" w:eastAsia="Calibri" w:hAnsi="Calibri" w:cs="Times New Roman"/>
          <w:iCs/>
          <w:lang w:eastAsia="en-US"/>
        </w:rPr>
        <w:t xml:space="preserve"> </w:t>
      </w:r>
      <w:r w:rsidRPr="00CA5C2C">
        <w:rPr>
          <w:rFonts w:ascii="Calibri" w:eastAsia="Calibri" w:hAnsi="Calibri" w:cs="Times New Roman"/>
          <w:iCs/>
          <w:lang w:eastAsia="en-US"/>
        </w:rPr>
        <w:t>%).</w:t>
      </w:r>
    </w:p>
    <w:p w:rsidR="00CA5C2C" w:rsidRPr="00CA5C2C" w:rsidRDefault="00E85005" w:rsidP="00CA5C2C">
      <w:pPr>
        <w:jc w:val="both"/>
        <w:rPr>
          <w:rFonts w:ascii="Calibri" w:eastAsia="Calibri" w:hAnsi="Calibri" w:cs="Times New Roman"/>
          <w:iCs/>
          <w:lang w:eastAsia="en-US"/>
        </w:rPr>
      </w:pPr>
      <w:r>
        <w:rPr>
          <w:rFonts w:ascii="Calibri" w:eastAsia="Calibri" w:hAnsi="Calibri" w:cs="Times New Roman"/>
          <w:iCs/>
          <w:lang w:eastAsia="en-US"/>
        </w:rPr>
        <w:t>„</w:t>
      </w:r>
      <w:r w:rsidR="00CA5C2C" w:rsidRPr="008C3A22">
        <w:rPr>
          <w:rFonts w:ascii="Calibri" w:eastAsia="Calibri" w:hAnsi="Calibri" w:cs="Times New Roman"/>
          <w:i/>
          <w:iCs/>
          <w:lang w:eastAsia="en-US"/>
        </w:rPr>
        <w:t xml:space="preserve">Slušný výsledek České republiky zvyšuje celkem </w:t>
      </w:r>
      <w:r w:rsidR="00CA5C2C" w:rsidRPr="008C3A22">
        <w:rPr>
          <w:rFonts w:ascii="Calibri" w:eastAsia="Calibri" w:hAnsi="Calibri" w:cs="Times New Roman"/>
          <w:b/>
          <w:i/>
          <w:iCs/>
          <w:lang w:eastAsia="en-US"/>
        </w:rPr>
        <w:t>funkční zákon o svobodném přístupu k informacím</w:t>
      </w:r>
      <w:r w:rsidR="00CA5C2C" w:rsidRPr="008C3A22">
        <w:rPr>
          <w:rFonts w:ascii="Calibri" w:eastAsia="Calibri" w:hAnsi="Calibri" w:cs="Times New Roman"/>
          <w:i/>
          <w:iCs/>
          <w:lang w:eastAsia="en-US"/>
        </w:rPr>
        <w:t xml:space="preserve">, snahy o seberegulaci části lobbistických firem a existence systému hodnocení dopadu regulace (RIA). Naopak </w:t>
      </w:r>
      <w:r w:rsidR="00CA5C2C" w:rsidRPr="008C3A22">
        <w:rPr>
          <w:rFonts w:ascii="Calibri" w:eastAsia="Calibri" w:hAnsi="Calibri" w:cs="Times New Roman"/>
          <w:b/>
          <w:i/>
          <w:iCs/>
          <w:lang w:eastAsia="en-US"/>
        </w:rPr>
        <w:t>nefunkční jsou etické kodexy úředníků, chybí etických kodex poslanců a senátorů, je potřeba zavést princip „legislativní stopy“ a lépe upravit střety zájmů</w:t>
      </w:r>
      <w:r w:rsidR="00CA5C2C" w:rsidRPr="008C3A22">
        <w:rPr>
          <w:rFonts w:ascii="Calibri" w:eastAsia="Calibri" w:hAnsi="Calibri" w:cs="Times New Roman"/>
          <w:i/>
          <w:iCs/>
          <w:lang w:eastAsia="en-US"/>
        </w:rPr>
        <w:t xml:space="preserve"> a přechod mezi soukromým a veřejným sektorem</w:t>
      </w:r>
      <w:r>
        <w:rPr>
          <w:rFonts w:ascii="Calibri" w:eastAsia="Calibri" w:hAnsi="Calibri" w:cs="Times New Roman"/>
          <w:iCs/>
          <w:lang w:eastAsia="en-US"/>
        </w:rPr>
        <w:t>,</w:t>
      </w:r>
      <w:r w:rsidR="00822290">
        <w:rPr>
          <w:rFonts w:ascii="Calibri" w:eastAsia="Calibri" w:hAnsi="Calibri" w:cs="Times New Roman"/>
          <w:iCs/>
          <w:lang w:eastAsia="en-US"/>
        </w:rPr>
        <w:t>“</w:t>
      </w:r>
      <w:r>
        <w:rPr>
          <w:rFonts w:ascii="Calibri" w:eastAsia="Calibri" w:hAnsi="Calibri" w:cs="Times New Roman"/>
          <w:iCs/>
          <w:lang w:eastAsia="en-US"/>
        </w:rPr>
        <w:t xml:space="preserve"> říká autor studie </w:t>
      </w:r>
      <w:r w:rsidRPr="000C7A69">
        <w:rPr>
          <w:rFonts w:ascii="Calibri" w:eastAsia="Calibri" w:hAnsi="Calibri" w:cs="Times New Roman"/>
          <w:b/>
          <w:iCs/>
          <w:lang w:eastAsia="en-US"/>
        </w:rPr>
        <w:t>Petr Vymětal</w:t>
      </w:r>
      <w:r>
        <w:rPr>
          <w:rFonts w:ascii="Calibri" w:eastAsia="Calibri" w:hAnsi="Calibri" w:cs="Times New Roman"/>
          <w:iCs/>
          <w:lang w:eastAsia="en-US"/>
        </w:rPr>
        <w:t>, politolog z Vysoké školy ekonomické.</w:t>
      </w:r>
    </w:p>
    <w:p w:rsidR="00CA5C2C" w:rsidRPr="00E765C0" w:rsidRDefault="00F81D9A" w:rsidP="00F82FA9">
      <w:pPr>
        <w:jc w:val="both"/>
        <w:rPr>
          <w:b/>
          <w:u w:val="single"/>
        </w:rPr>
      </w:pPr>
      <w:r w:rsidRPr="00E765C0">
        <w:rPr>
          <w:b/>
          <w:sz w:val="24"/>
          <w:szCs w:val="24"/>
          <w:u w:val="single"/>
        </w:rPr>
        <w:t>Doporučení</w:t>
      </w:r>
      <w:r w:rsidRPr="00E765C0">
        <w:rPr>
          <w:b/>
          <w:u w:val="single"/>
        </w:rPr>
        <w:t>:</w:t>
      </w:r>
    </w:p>
    <w:p w:rsidR="00E765C0" w:rsidRPr="005033DF" w:rsidRDefault="00E765C0" w:rsidP="00E765C0">
      <w:pPr>
        <w:pStyle w:val="Odstavecseseznamem"/>
        <w:numPr>
          <w:ilvl w:val="0"/>
          <w:numId w:val="3"/>
        </w:numPr>
        <w:jc w:val="both"/>
      </w:pPr>
      <w:r w:rsidRPr="005033DF">
        <w:t>Vláda by měla zavést jasnou definici lobbingu/lobbisty/lobbovaného a přijmout pravidla, která umožní registrování a monitoring lobbistické činnosti a kontaktů v legislativě, exekutivě a veřejném sektoru.</w:t>
      </w:r>
    </w:p>
    <w:p w:rsidR="00E765C0" w:rsidRDefault="00E765C0" w:rsidP="00E765C0">
      <w:pPr>
        <w:pStyle w:val="Odstavecseseznamem"/>
        <w:numPr>
          <w:ilvl w:val="0"/>
          <w:numId w:val="3"/>
        </w:numPr>
        <w:jc w:val="both"/>
      </w:pPr>
      <w:r w:rsidRPr="005033DF">
        <w:t xml:space="preserve">Poslanecká sněmovna a Senát by </w:t>
      </w:r>
      <w:r w:rsidR="00687799" w:rsidRPr="005033DF">
        <w:t>měl</w:t>
      </w:r>
      <w:r w:rsidR="00687799">
        <w:t>y</w:t>
      </w:r>
      <w:r w:rsidR="00687799" w:rsidRPr="005033DF">
        <w:t xml:space="preserve"> </w:t>
      </w:r>
      <w:r w:rsidRPr="005033DF">
        <w:t xml:space="preserve">zvážit navržení a prosazení </w:t>
      </w:r>
      <w:r w:rsidR="008C3A22">
        <w:t>e</w:t>
      </w:r>
      <w:r w:rsidRPr="005033DF">
        <w:t>tického kodexu poslance a senátora, který bude obsahovat povinnost hlášení lobbistických kontaktů.</w:t>
      </w:r>
    </w:p>
    <w:p w:rsidR="008C3A22" w:rsidRDefault="008C3A22" w:rsidP="008C3A22">
      <w:pPr>
        <w:pStyle w:val="Odstavecseseznamem"/>
        <w:numPr>
          <w:ilvl w:val="0"/>
          <w:numId w:val="3"/>
        </w:numPr>
        <w:jc w:val="both"/>
      </w:pPr>
      <w:r>
        <w:t>Vláda by měla specifikovat pravidla upravující přijímání darů a jiných výhod, a také úpravu hlášení lobbistických kontaktů, zejména v návaznosti na nový zákon o státní službě.</w:t>
      </w:r>
    </w:p>
    <w:p w:rsidR="008C3A22" w:rsidRPr="005033DF" w:rsidRDefault="008C3A22" w:rsidP="008C3A22">
      <w:pPr>
        <w:pStyle w:val="Odstavecseseznamem"/>
        <w:numPr>
          <w:ilvl w:val="0"/>
          <w:numId w:val="3"/>
        </w:numPr>
        <w:jc w:val="both"/>
      </w:pPr>
      <w:r>
        <w:t>Vláda a parlament by měly přijmout zavedení tzv. legislativní stopy, tj. transparentního a veřejně přístupného systému umožňujícího sledovat průběh legislativního a/nebo rozhodovacího procesu, včetně možnosti vysledovat původ a autory pozměňovacích návrhů předkládaných jednotlivými poslanci.</w:t>
      </w:r>
    </w:p>
    <w:p w:rsidR="005033DF" w:rsidRPr="000C7A69" w:rsidRDefault="008C3A22" w:rsidP="00E85005">
      <w:pPr>
        <w:jc w:val="both"/>
        <w:rPr>
          <w:rFonts w:ascii="Calibri" w:eastAsia="Calibri" w:hAnsi="Calibri" w:cs="Times New Roman"/>
          <w:b/>
          <w:iCs/>
          <w:lang w:eastAsia="en-US"/>
        </w:rPr>
      </w:pPr>
      <w:r w:rsidRPr="005033DF" w:rsidDel="008C3A22">
        <w:t xml:space="preserve"> </w:t>
      </w:r>
      <w:r w:rsidR="00E85005" w:rsidRPr="000C7A69">
        <w:rPr>
          <w:rFonts w:ascii="Calibri" w:eastAsia="Calibri" w:hAnsi="Calibri" w:cs="Times New Roman"/>
          <w:iCs/>
          <w:lang w:eastAsia="en-US"/>
        </w:rPr>
        <w:t>„</w:t>
      </w:r>
      <w:r w:rsidR="00E85005" w:rsidRPr="000C7A69">
        <w:rPr>
          <w:rFonts w:ascii="Calibri" w:eastAsia="Calibri" w:hAnsi="Calibri" w:cs="Times New Roman"/>
          <w:i/>
          <w:iCs/>
          <w:lang w:eastAsia="en-US"/>
        </w:rPr>
        <w:t xml:space="preserve">Vítáme, že Rada vlády pro koordinaci boje s korupcí </w:t>
      </w:r>
      <w:r w:rsidR="000C7A69" w:rsidRPr="000C7A69">
        <w:rPr>
          <w:rFonts w:ascii="Calibri" w:eastAsia="Calibri" w:hAnsi="Calibri" w:cs="Times New Roman"/>
          <w:i/>
          <w:iCs/>
          <w:lang w:eastAsia="en-US"/>
        </w:rPr>
        <w:t xml:space="preserve">se </w:t>
      </w:r>
      <w:r w:rsidR="00E85005" w:rsidRPr="000C7A69">
        <w:rPr>
          <w:rFonts w:ascii="Calibri" w:eastAsia="Calibri" w:hAnsi="Calibri" w:cs="Times New Roman"/>
          <w:i/>
          <w:iCs/>
          <w:lang w:eastAsia="en-US"/>
        </w:rPr>
        <w:t xml:space="preserve">jednomyslně </w:t>
      </w:r>
      <w:r w:rsidR="000C7A69" w:rsidRPr="000C7A69">
        <w:rPr>
          <w:rFonts w:ascii="Calibri" w:eastAsia="Calibri" w:hAnsi="Calibri" w:cs="Times New Roman"/>
          <w:i/>
          <w:iCs/>
          <w:lang w:eastAsia="en-US"/>
        </w:rPr>
        <w:t xml:space="preserve">rozhodla přípravou právní regulace lobbingu zabývat a </w:t>
      </w:r>
      <w:r w:rsidR="00E85005" w:rsidRPr="000C7A69">
        <w:rPr>
          <w:rFonts w:ascii="Calibri" w:eastAsia="Calibri" w:hAnsi="Calibri" w:cs="Times New Roman"/>
          <w:i/>
          <w:iCs/>
          <w:lang w:eastAsia="en-US"/>
        </w:rPr>
        <w:t>doporučila</w:t>
      </w:r>
      <w:r w:rsidR="000C7A69" w:rsidRPr="000C7A69">
        <w:rPr>
          <w:rFonts w:ascii="Calibri" w:eastAsia="Calibri" w:hAnsi="Calibri" w:cs="Times New Roman"/>
          <w:i/>
          <w:iCs/>
          <w:lang w:eastAsia="en-US"/>
        </w:rPr>
        <w:t xml:space="preserve"> vládě otevřít politickou diskuzi na téma regulace lobbingu v České republice</w:t>
      </w:r>
      <w:r w:rsidR="00822290">
        <w:rPr>
          <w:rFonts w:ascii="Calibri" w:eastAsia="Calibri" w:hAnsi="Calibri" w:cs="Times New Roman"/>
          <w:i/>
          <w:iCs/>
          <w:lang w:eastAsia="en-US"/>
        </w:rPr>
        <w:t>,</w:t>
      </w:r>
      <w:r w:rsidR="000C7A69">
        <w:rPr>
          <w:rFonts w:ascii="Calibri" w:eastAsia="Calibri" w:hAnsi="Calibri" w:cs="Times New Roman"/>
          <w:iCs/>
          <w:lang w:eastAsia="en-US"/>
        </w:rPr>
        <w:t xml:space="preserve">“ dodává </w:t>
      </w:r>
      <w:r w:rsidR="000C7A69" w:rsidRPr="000C7A69">
        <w:rPr>
          <w:rFonts w:ascii="Calibri" w:eastAsia="Calibri" w:hAnsi="Calibri" w:cs="Times New Roman"/>
          <w:b/>
          <w:iCs/>
          <w:lang w:eastAsia="en-US"/>
        </w:rPr>
        <w:t>Radim Bureš.</w:t>
      </w:r>
    </w:p>
    <w:p w:rsidR="004F4B0B" w:rsidRDefault="004F4B0B" w:rsidP="00F82FA9">
      <w:pPr>
        <w:jc w:val="both"/>
      </w:pPr>
    </w:p>
    <w:p w:rsidR="00CA5C2C" w:rsidRDefault="00CA5C2C" w:rsidP="00F82FA9">
      <w:pPr>
        <w:jc w:val="both"/>
      </w:pPr>
      <w:r>
        <w:t>Studie „</w:t>
      </w:r>
      <w:hyperlink r:id="rId9" w:history="1">
        <w:r w:rsidRPr="00687799">
          <w:rPr>
            <w:rStyle w:val="Hypertextovodkaz"/>
            <w:b/>
          </w:rPr>
          <w:t>V čím zájmu? Jak funguje lobbing</w:t>
        </w:r>
      </w:hyperlink>
      <w:r w:rsidRPr="00CA5C2C">
        <w:rPr>
          <w:b/>
        </w:rPr>
        <w:t>“</w:t>
      </w:r>
      <w:r w:rsidR="005033DF">
        <w:t xml:space="preserve"> </w:t>
      </w:r>
      <w:r>
        <w:t>i studie „</w:t>
      </w:r>
      <w:hyperlink r:id="rId10" w:history="1">
        <w:r w:rsidRPr="00822290">
          <w:rPr>
            <w:rStyle w:val="Hypertextovodkaz"/>
            <w:b/>
          </w:rPr>
          <w:t>Lobbying in Europe</w:t>
        </w:r>
        <w:r w:rsidR="00E85005" w:rsidRPr="00822290">
          <w:rPr>
            <w:rStyle w:val="Hypertextovodkaz"/>
            <w:b/>
          </w:rPr>
          <w:t xml:space="preserve">: </w:t>
        </w:r>
        <w:r w:rsidRPr="00822290">
          <w:rPr>
            <w:rStyle w:val="Hypertextovodkaz"/>
            <w:b/>
          </w:rPr>
          <w:t xml:space="preserve"> Hidden Influence, Privileged </w:t>
        </w:r>
        <w:r w:rsidR="00E85005" w:rsidRPr="00822290">
          <w:rPr>
            <w:rStyle w:val="Hypertextovodkaz"/>
            <w:b/>
          </w:rPr>
          <w:t xml:space="preserve"> </w:t>
        </w:r>
        <w:r w:rsidRPr="00822290">
          <w:rPr>
            <w:rStyle w:val="Hypertextovodkaz"/>
            <w:b/>
          </w:rPr>
          <w:t>Access</w:t>
        </w:r>
      </w:hyperlink>
      <w:r>
        <w:t xml:space="preserve">“ jsou k dispozici na </w:t>
      </w:r>
      <w:hyperlink r:id="rId11" w:history="1">
        <w:r w:rsidRPr="0054411A">
          <w:rPr>
            <w:rStyle w:val="Hypertextovodkaz"/>
          </w:rPr>
          <w:t>www.transparency.cz</w:t>
        </w:r>
      </w:hyperlink>
      <w:r>
        <w:t>.</w:t>
      </w:r>
    </w:p>
    <w:p w:rsidR="00E85005" w:rsidRPr="005B2D04" w:rsidRDefault="00CA5C2C" w:rsidP="005B2D04">
      <w:pPr>
        <w:jc w:val="both"/>
      </w:pPr>
      <w:r>
        <w:t xml:space="preserve">Mapování lobbistických aktivit vůči Evropským institucím lze nalézt na webu  </w:t>
      </w:r>
      <w:hyperlink r:id="rId12" w:history="1">
        <w:r w:rsidR="00822290" w:rsidRPr="00822290">
          <w:rPr>
            <w:rStyle w:val="Hypertextovodkaz"/>
          </w:rPr>
          <w:t>IntegrityWatch.eu</w:t>
        </w:r>
      </w:hyperlink>
      <w:r>
        <w:t>.</w:t>
      </w:r>
    </w:p>
    <w:p w:rsidR="00F82FA9" w:rsidRPr="00361FBB" w:rsidRDefault="00F82FA9" w:rsidP="00F82FA9">
      <w:pPr>
        <w:rPr>
          <w:b/>
          <w:u w:val="single"/>
        </w:rPr>
      </w:pPr>
      <w:r w:rsidRPr="00361FBB">
        <w:rPr>
          <w:b/>
          <w:u w:val="single"/>
        </w:rPr>
        <w:t>Kontakt pro média:</w:t>
      </w:r>
    </w:p>
    <w:p w:rsidR="00F82FA9" w:rsidRDefault="00F82FA9" w:rsidP="00F82FA9">
      <w:pPr>
        <w:spacing w:after="0"/>
      </w:pPr>
      <w:r>
        <w:t>Radim Bureš, Programový ředitel Transparency International Česká republika</w:t>
      </w:r>
    </w:p>
    <w:p w:rsidR="00F82FA9" w:rsidRDefault="00F82FA9" w:rsidP="00F82FA9">
      <w:pPr>
        <w:spacing w:after="0"/>
      </w:pPr>
      <w:r>
        <w:t>Mobil: +420 733 666 008</w:t>
      </w:r>
    </w:p>
    <w:p w:rsidR="00F82FA9" w:rsidRDefault="00F82FA9" w:rsidP="00E85005">
      <w:pPr>
        <w:spacing w:after="0"/>
        <w:rPr>
          <w:u w:val="single"/>
        </w:rPr>
      </w:pPr>
      <w:r>
        <w:t xml:space="preserve">E-mail: </w:t>
      </w:r>
      <w:hyperlink r:id="rId13" w:history="1">
        <w:r w:rsidRPr="00CD0C3C">
          <w:rPr>
            <w:rStyle w:val="Hypertextovodkaz"/>
          </w:rPr>
          <w:t>bures@transparency.cz</w:t>
        </w:r>
      </w:hyperlink>
    </w:p>
    <w:p w:rsidR="00A53006" w:rsidRDefault="00A53006" w:rsidP="00026D61">
      <w:pPr>
        <w:tabs>
          <w:tab w:val="left" w:pos="3585"/>
        </w:tabs>
      </w:pPr>
    </w:p>
    <w:p w:rsidR="005B2D04" w:rsidRDefault="005B2D04" w:rsidP="005B2D04">
      <w:pPr>
        <w:tabs>
          <w:tab w:val="left" w:pos="3585"/>
        </w:tabs>
        <w:spacing w:after="0"/>
      </w:pPr>
      <w:r>
        <w:t>Petr Vymětal, Vysoká škola ekonomická</w:t>
      </w:r>
      <w:bookmarkStart w:id="0" w:name="_GoBack"/>
      <w:bookmarkEnd w:id="0"/>
    </w:p>
    <w:p w:rsidR="005B2D04" w:rsidRDefault="005B2D04" w:rsidP="005B2D04">
      <w:pPr>
        <w:tabs>
          <w:tab w:val="left" w:pos="3585"/>
        </w:tabs>
        <w:spacing w:after="0"/>
      </w:pPr>
      <w:r>
        <w:t>Mobil: +420 777 336 091</w:t>
      </w:r>
    </w:p>
    <w:p w:rsidR="005B2D04" w:rsidRPr="00026D61" w:rsidRDefault="005B2D04" w:rsidP="005B2D04">
      <w:pPr>
        <w:tabs>
          <w:tab w:val="left" w:pos="3585"/>
        </w:tabs>
        <w:spacing w:after="0"/>
      </w:pPr>
      <w:r>
        <w:t xml:space="preserve">E-mail: </w:t>
      </w:r>
      <w:hyperlink r:id="rId14" w:history="1">
        <w:r w:rsidRPr="00EB10DC">
          <w:rPr>
            <w:rStyle w:val="Hypertextovodkaz"/>
          </w:rPr>
          <w:t>petr.vymetal@vse.cz</w:t>
        </w:r>
      </w:hyperlink>
      <w:r>
        <w:t xml:space="preserve"> </w:t>
      </w:r>
    </w:p>
    <w:sectPr w:rsidR="005B2D04" w:rsidRPr="00026D61" w:rsidSect="00D911B1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8E5" w:rsidRDefault="007C68E5" w:rsidP="00A53006">
      <w:pPr>
        <w:spacing w:after="0" w:line="240" w:lineRule="auto"/>
      </w:pPr>
      <w:r>
        <w:separator/>
      </w:r>
    </w:p>
  </w:endnote>
  <w:endnote w:type="continuationSeparator" w:id="0">
    <w:p w:rsidR="007C68E5" w:rsidRDefault="007C68E5" w:rsidP="00A53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roman"/>
    <w:pitch w:val="default"/>
  </w:font>
  <w:font w:name="Oswald">
    <w:altName w:val="Cambria Math"/>
    <w:panose1 w:val="02000303000000000000"/>
    <w:charset w:val="EE"/>
    <w:family w:val="auto"/>
    <w:pitch w:val="variable"/>
    <w:sig w:usb0="A00000EF" w:usb1="4000004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BFBFBF" w:themeColor="background1" w:themeShade="BF"/>
        <w:sz w:val="16"/>
        <w:szCs w:val="16"/>
      </w:rPr>
      <w:id w:val="92605450"/>
      <w:docPartObj>
        <w:docPartGallery w:val="Page Numbers (Bottom of Page)"/>
        <w:docPartUnique/>
      </w:docPartObj>
    </w:sdtPr>
    <w:sdtEndPr>
      <w:rPr>
        <w:rFonts w:ascii="Oswald" w:hAnsi="Oswald"/>
        <w:color w:val="808080" w:themeColor="background1" w:themeShade="80"/>
      </w:rPr>
    </w:sdtEndPr>
    <w:sdtContent>
      <w:sdt>
        <w:sdtPr>
          <w:rPr>
            <w:rFonts w:ascii="Oswald" w:hAnsi="Oswald"/>
            <w:color w:val="808080" w:themeColor="background1" w:themeShade="80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913B95" w:rsidRPr="00786744" w:rsidRDefault="00913B95" w:rsidP="002E4134">
            <w:pPr>
              <w:pStyle w:val="Zpat"/>
              <w:jc w:val="right"/>
              <w:rPr>
                <w:rFonts w:ascii="Oswald" w:hAnsi="Oswald"/>
                <w:color w:val="808080" w:themeColor="background1" w:themeShade="80"/>
                <w:sz w:val="16"/>
                <w:szCs w:val="16"/>
              </w:rPr>
            </w:pPr>
            <w:r w:rsidRPr="00786744">
              <w:rPr>
                <w:rFonts w:ascii="Oswald" w:hAnsi="Oswald"/>
                <w:color w:val="808080" w:themeColor="background1" w:themeShade="80"/>
                <w:sz w:val="16"/>
                <w:szCs w:val="16"/>
              </w:rPr>
              <w:t xml:space="preserve">Stránka </w:t>
            </w:r>
            <w:r w:rsidR="0059231E"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instrText>PAGE</w:instrText>
            </w:r>
            <w:r w:rsidR="0059231E"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5B2D04">
              <w:rPr>
                <w:rFonts w:ascii="Oswald" w:hAnsi="Oswald"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="0059231E"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786744">
              <w:rPr>
                <w:rFonts w:ascii="Oswald" w:hAnsi="Oswald"/>
                <w:color w:val="808080" w:themeColor="background1" w:themeShade="80"/>
                <w:sz w:val="16"/>
                <w:szCs w:val="16"/>
              </w:rPr>
              <w:t xml:space="preserve"> z </w:t>
            </w:r>
            <w:r w:rsidR="0059231E"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instrText>NUMPAGES</w:instrText>
            </w:r>
            <w:r w:rsidR="0059231E"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5B2D04">
              <w:rPr>
                <w:rFonts w:ascii="Oswald" w:hAnsi="Oswald"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="0059231E"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:rsidR="00913B95" w:rsidRPr="00786744" w:rsidRDefault="00913B95" w:rsidP="00A53006">
    <w:pPr>
      <w:pStyle w:val="Zpat"/>
      <w:jc w:val="center"/>
      <w:rPr>
        <w:rFonts w:ascii="Oswald" w:hAnsi="Oswald"/>
        <w:color w:val="808080" w:themeColor="background1" w:themeShade="80"/>
        <w:sz w:val="16"/>
        <w:szCs w:val="16"/>
      </w:rPr>
    </w:pPr>
  </w:p>
  <w:p w:rsidR="00913B95" w:rsidRPr="00786744" w:rsidRDefault="00913B95" w:rsidP="00A53006">
    <w:pPr>
      <w:pStyle w:val="Zpat"/>
      <w:jc w:val="center"/>
      <w:rPr>
        <w:rFonts w:ascii="Oswald" w:hAnsi="Oswald"/>
        <w:color w:val="808080" w:themeColor="background1" w:themeShade="80"/>
        <w:sz w:val="16"/>
        <w:szCs w:val="16"/>
      </w:rPr>
    </w:pPr>
    <w:r w:rsidRPr="00786744">
      <w:rPr>
        <w:rFonts w:ascii="Oswald" w:hAnsi="Oswald"/>
        <w:color w:val="808080" w:themeColor="background1" w:themeShade="80"/>
        <w:sz w:val="16"/>
        <w:szCs w:val="16"/>
      </w:rPr>
      <w:t xml:space="preserve">| Transparency International - Česká republika, o. p. s. | Sokolovská 260/143, 180 00 Praha 8, Česká republika | </w:t>
    </w:r>
  </w:p>
  <w:p w:rsidR="00913B95" w:rsidRPr="00786744" w:rsidRDefault="00913B95" w:rsidP="00A53006">
    <w:pPr>
      <w:pStyle w:val="Zpat"/>
      <w:jc w:val="center"/>
      <w:rPr>
        <w:rFonts w:ascii="Oswald" w:hAnsi="Oswald"/>
        <w:color w:val="808080" w:themeColor="background1" w:themeShade="80"/>
        <w:sz w:val="16"/>
        <w:szCs w:val="16"/>
      </w:rPr>
    </w:pPr>
    <w:r w:rsidRPr="00786744">
      <w:rPr>
        <w:rFonts w:ascii="Oswald" w:hAnsi="Oswald"/>
        <w:color w:val="808080" w:themeColor="background1" w:themeShade="80"/>
        <w:sz w:val="16"/>
        <w:szCs w:val="16"/>
      </w:rPr>
      <w:t>| Tel: +420 224 240 895-7 | posta@transparency.cz | www.transparency.cz |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8E5" w:rsidRDefault="007C68E5" w:rsidP="00A53006">
      <w:pPr>
        <w:spacing w:after="0" w:line="240" w:lineRule="auto"/>
      </w:pPr>
      <w:r>
        <w:separator/>
      </w:r>
    </w:p>
  </w:footnote>
  <w:footnote w:type="continuationSeparator" w:id="0">
    <w:p w:rsidR="007C68E5" w:rsidRDefault="007C68E5" w:rsidP="00A53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B95" w:rsidRDefault="00913B95" w:rsidP="00A53006">
    <w:pPr>
      <w:pStyle w:val="Zhlav"/>
      <w:tabs>
        <w:tab w:val="clear" w:pos="4536"/>
        <w:tab w:val="clear" w:pos="9072"/>
        <w:tab w:val="left" w:pos="402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7620</wp:posOffset>
          </wp:positionV>
          <wp:extent cx="1962150" cy="285750"/>
          <wp:effectExtent l="0" t="0" r="0" b="0"/>
          <wp:wrapTight wrapText="bothSides">
            <wp:wrapPolygon edited="0">
              <wp:start x="0" y="0"/>
              <wp:lineTo x="0" y="20160"/>
              <wp:lineTo x="21390" y="20160"/>
              <wp:lineTo x="21390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- TI Č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13B95" w:rsidRDefault="00913B95" w:rsidP="00A53006">
    <w:pPr>
      <w:pStyle w:val="Zhlav"/>
      <w:tabs>
        <w:tab w:val="clear" w:pos="4536"/>
        <w:tab w:val="clear" w:pos="9072"/>
        <w:tab w:val="left" w:pos="4020"/>
      </w:tabs>
    </w:pPr>
  </w:p>
  <w:p w:rsidR="00913B95" w:rsidRDefault="00913B95" w:rsidP="00A53006">
    <w:pPr>
      <w:pStyle w:val="Zhlav"/>
      <w:tabs>
        <w:tab w:val="clear" w:pos="4536"/>
        <w:tab w:val="clear" w:pos="9072"/>
        <w:tab w:val="left" w:pos="4020"/>
      </w:tabs>
      <w:rPr>
        <w:rFonts w:ascii="Oswald" w:hAnsi="Oswald"/>
        <w:i/>
        <w:color w:val="0065B3"/>
        <w:sz w:val="20"/>
        <w:szCs w:val="20"/>
      </w:rPr>
    </w:pPr>
    <w:r>
      <w:rPr>
        <w:rFonts w:ascii="Oswald" w:hAnsi="Oswald"/>
        <w:i/>
        <w:color w:val="0065B3"/>
        <w:sz w:val="20"/>
        <w:szCs w:val="20"/>
      </w:rPr>
      <w:t>„</w:t>
    </w:r>
    <w:r w:rsidRPr="002E4134">
      <w:rPr>
        <w:rFonts w:ascii="Oswald" w:hAnsi="Oswald"/>
        <w:i/>
        <w:color w:val="0065B3"/>
        <w:sz w:val="20"/>
        <w:szCs w:val="20"/>
      </w:rPr>
      <w:t>Hlídáme veřejný zájem, hájíme efektivní a odpovědnou správu země.</w:t>
    </w:r>
    <w:r>
      <w:rPr>
        <w:rFonts w:ascii="Oswald" w:hAnsi="Oswald"/>
        <w:i/>
        <w:color w:val="0065B3"/>
        <w:sz w:val="20"/>
        <w:szCs w:val="20"/>
      </w:rPr>
      <w:t>“</w:t>
    </w:r>
  </w:p>
  <w:p w:rsidR="00D11651" w:rsidRDefault="00D11651" w:rsidP="00A53006">
    <w:pPr>
      <w:pStyle w:val="Zhlav"/>
      <w:tabs>
        <w:tab w:val="clear" w:pos="4536"/>
        <w:tab w:val="clear" w:pos="9072"/>
        <w:tab w:val="left" w:pos="4020"/>
      </w:tabs>
      <w:rPr>
        <w:rFonts w:ascii="Oswald" w:hAnsi="Oswald"/>
        <w:i/>
        <w:color w:val="0065B3"/>
        <w:sz w:val="20"/>
        <w:szCs w:val="20"/>
      </w:rPr>
    </w:pPr>
  </w:p>
  <w:p w:rsidR="00D11651" w:rsidRPr="002E4134" w:rsidRDefault="00D11651" w:rsidP="00A53006">
    <w:pPr>
      <w:pStyle w:val="Zhlav"/>
      <w:tabs>
        <w:tab w:val="clear" w:pos="4536"/>
        <w:tab w:val="clear" w:pos="9072"/>
        <w:tab w:val="left" w:pos="4020"/>
      </w:tabs>
      <w:rPr>
        <w:rFonts w:ascii="Oswald" w:hAnsi="Oswald"/>
        <w:i/>
        <w:color w:val="0065B3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37432"/>
    <w:multiLevelType w:val="hybridMultilevel"/>
    <w:tmpl w:val="02C8E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142A54"/>
    <w:multiLevelType w:val="hybridMultilevel"/>
    <w:tmpl w:val="AC5A9C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695D21"/>
    <w:multiLevelType w:val="hybridMultilevel"/>
    <w:tmpl w:val="E4BA5B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006"/>
    <w:rsid w:val="000266BB"/>
    <w:rsid w:val="00026D61"/>
    <w:rsid w:val="000512C5"/>
    <w:rsid w:val="000911EA"/>
    <w:rsid w:val="000C64D7"/>
    <w:rsid w:val="000C7A69"/>
    <w:rsid w:val="0012161D"/>
    <w:rsid w:val="00133CF3"/>
    <w:rsid w:val="00153CBE"/>
    <w:rsid w:val="001C2F3A"/>
    <w:rsid w:val="001D67A9"/>
    <w:rsid w:val="002A500E"/>
    <w:rsid w:val="002C5121"/>
    <w:rsid w:val="002E3965"/>
    <w:rsid w:val="002E4134"/>
    <w:rsid w:val="003557CE"/>
    <w:rsid w:val="003802BC"/>
    <w:rsid w:val="003C1168"/>
    <w:rsid w:val="00445F84"/>
    <w:rsid w:val="0046066B"/>
    <w:rsid w:val="004730DD"/>
    <w:rsid w:val="004F4B0B"/>
    <w:rsid w:val="005033DF"/>
    <w:rsid w:val="00585C70"/>
    <w:rsid w:val="00590AF9"/>
    <w:rsid w:val="0059231E"/>
    <w:rsid w:val="005B2D04"/>
    <w:rsid w:val="005C096E"/>
    <w:rsid w:val="00622A55"/>
    <w:rsid w:val="0063674F"/>
    <w:rsid w:val="006538FF"/>
    <w:rsid w:val="006866C3"/>
    <w:rsid w:val="00687799"/>
    <w:rsid w:val="0073457A"/>
    <w:rsid w:val="0074299F"/>
    <w:rsid w:val="00786744"/>
    <w:rsid w:val="00794E63"/>
    <w:rsid w:val="007C6326"/>
    <w:rsid w:val="007C68E5"/>
    <w:rsid w:val="007F1DED"/>
    <w:rsid w:val="00801BDA"/>
    <w:rsid w:val="00811415"/>
    <w:rsid w:val="00817E07"/>
    <w:rsid w:val="00822290"/>
    <w:rsid w:val="00897CED"/>
    <w:rsid w:val="008C3A22"/>
    <w:rsid w:val="008E38C9"/>
    <w:rsid w:val="00913B95"/>
    <w:rsid w:val="00960D2E"/>
    <w:rsid w:val="00966C16"/>
    <w:rsid w:val="009904E2"/>
    <w:rsid w:val="009C5A0A"/>
    <w:rsid w:val="009E25D9"/>
    <w:rsid w:val="00A128BA"/>
    <w:rsid w:val="00A24F2B"/>
    <w:rsid w:val="00A53006"/>
    <w:rsid w:val="00AC4CBD"/>
    <w:rsid w:val="00AE645C"/>
    <w:rsid w:val="00AF1629"/>
    <w:rsid w:val="00B50FC3"/>
    <w:rsid w:val="00B61BB5"/>
    <w:rsid w:val="00B92DED"/>
    <w:rsid w:val="00BC3AC6"/>
    <w:rsid w:val="00BE07A7"/>
    <w:rsid w:val="00C0236C"/>
    <w:rsid w:val="00C23101"/>
    <w:rsid w:val="00C8793C"/>
    <w:rsid w:val="00CA5C2C"/>
    <w:rsid w:val="00CA72FB"/>
    <w:rsid w:val="00CD3C78"/>
    <w:rsid w:val="00CE7B0C"/>
    <w:rsid w:val="00D11651"/>
    <w:rsid w:val="00D911B1"/>
    <w:rsid w:val="00DB2766"/>
    <w:rsid w:val="00E149BB"/>
    <w:rsid w:val="00E3338E"/>
    <w:rsid w:val="00E765C0"/>
    <w:rsid w:val="00E77E44"/>
    <w:rsid w:val="00E85005"/>
    <w:rsid w:val="00EA1381"/>
    <w:rsid w:val="00EB7DF8"/>
    <w:rsid w:val="00EC3843"/>
    <w:rsid w:val="00F5603B"/>
    <w:rsid w:val="00F81D9A"/>
    <w:rsid w:val="00F82FA9"/>
    <w:rsid w:val="00F87BCD"/>
    <w:rsid w:val="00FD0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530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3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3006"/>
  </w:style>
  <w:style w:type="paragraph" w:styleId="Zpat">
    <w:name w:val="footer"/>
    <w:basedOn w:val="Normln"/>
    <w:link w:val="ZpatChar"/>
    <w:uiPriority w:val="99"/>
    <w:unhideWhenUsed/>
    <w:rsid w:val="00A53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3006"/>
  </w:style>
  <w:style w:type="paragraph" w:styleId="Textbubliny">
    <w:name w:val="Balloon Text"/>
    <w:basedOn w:val="Normln"/>
    <w:link w:val="TextbublinyChar"/>
    <w:uiPriority w:val="99"/>
    <w:semiHidden/>
    <w:unhideWhenUsed/>
    <w:rsid w:val="00A53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00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A530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komente">
    <w:name w:val="annotation text"/>
    <w:basedOn w:val="Normln"/>
    <w:link w:val="TextkomenteChar"/>
    <w:unhideWhenUsed/>
    <w:rsid w:val="00A530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53006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82FA9"/>
    <w:pPr>
      <w:ind w:left="720"/>
      <w:contextualSpacing/>
    </w:pPr>
  </w:style>
  <w:style w:type="table" w:styleId="Mkatabulky">
    <w:name w:val="Table Grid"/>
    <w:basedOn w:val="Normlntabulka"/>
    <w:uiPriority w:val="59"/>
    <w:rsid w:val="00F82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82FA9"/>
    <w:rPr>
      <w:color w:val="0000FF" w:themeColor="hyperlink"/>
      <w:u w:val="single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82FA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82FA9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styleId="Odkaznakoment">
    <w:name w:val="annotation reference"/>
    <w:basedOn w:val="Standardnpsmoodstavce"/>
    <w:unhideWhenUsed/>
    <w:rsid w:val="0074299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29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299F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5033DF"/>
    <w:rPr>
      <w:color w:val="800080" w:themeColor="followedHyperlink"/>
      <w:u w:val="single"/>
    </w:rPr>
  </w:style>
  <w:style w:type="paragraph" w:customStyle="1" w:styleId="CharChar1CharCharCharCharCharCharChar">
    <w:name w:val="Char Char1 Char Char Char Char Char Char Char"/>
    <w:basedOn w:val="Normln"/>
    <w:rsid w:val="000C7A69"/>
    <w:pPr>
      <w:spacing w:after="160" w:line="240" w:lineRule="exact"/>
    </w:pPr>
    <w:rPr>
      <w:rFonts w:ascii="Times New Roman Bold" w:eastAsia="Times New Roman" w:hAnsi="Times New Roman Bold" w:cs="Times New Roman"/>
      <w:szCs w:val="26"/>
      <w:lang w:val="sk-SK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530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3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3006"/>
  </w:style>
  <w:style w:type="paragraph" w:styleId="Zpat">
    <w:name w:val="footer"/>
    <w:basedOn w:val="Normln"/>
    <w:link w:val="ZpatChar"/>
    <w:uiPriority w:val="99"/>
    <w:unhideWhenUsed/>
    <w:rsid w:val="00A53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3006"/>
  </w:style>
  <w:style w:type="paragraph" w:styleId="Textbubliny">
    <w:name w:val="Balloon Text"/>
    <w:basedOn w:val="Normln"/>
    <w:link w:val="TextbublinyChar"/>
    <w:uiPriority w:val="99"/>
    <w:semiHidden/>
    <w:unhideWhenUsed/>
    <w:rsid w:val="00A53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00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A530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komente">
    <w:name w:val="annotation text"/>
    <w:basedOn w:val="Normln"/>
    <w:link w:val="TextkomenteChar"/>
    <w:unhideWhenUsed/>
    <w:rsid w:val="00A530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53006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82FA9"/>
    <w:pPr>
      <w:ind w:left="720"/>
      <w:contextualSpacing/>
    </w:pPr>
  </w:style>
  <w:style w:type="table" w:styleId="Mkatabulky">
    <w:name w:val="Table Grid"/>
    <w:basedOn w:val="Normlntabulka"/>
    <w:uiPriority w:val="59"/>
    <w:rsid w:val="00F82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82FA9"/>
    <w:rPr>
      <w:color w:val="0000FF" w:themeColor="hyperlink"/>
      <w:u w:val="single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82FA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82FA9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styleId="Odkaznakoment">
    <w:name w:val="annotation reference"/>
    <w:basedOn w:val="Standardnpsmoodstavce"/>
    <w:unhideWhenUsed/>
    <w:rsid w:val="0074299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29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299F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5033DF"/>
    <w:rPr>
      <w:color w:val="800080" w:themeColor="followedHyperlink"/>
      <w:u w:val="single"/>
    </w:rPr>
  </w:style>
  <w:style w:type="paragraph" w:customStyle="1" w:styleId="CharChar1CharCharCharCharCharCharChar">
    <w:name w:val="Char Char1 Char Char Char Char Char Char Char"/>
    <w:basedOn w:val="Normln"/>
    <w:rsid w:val="000C7A69"/>
    <w:pPr>
      <w:spacing w:after="160" w:line="240" w:lineRule="exact"/>
    </w:pPr>
    <w:rPr>
      <w:rFonts w:ascii="Times New Roman Bold" w:eastAsia="Times New Roman" w:hAnsi="Times New Roman Bold" w:cs="Times New Roman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4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ures@transparency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ntegritywatch.e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ransparency.cz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transparency.cz/lobbing-v-evrope-skryty-vliv-privilegovany-pristup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ransparency.cz/v-cim-zajmu-jak-funguje-lobbing/" TargetMode="External"/><Relationship Id="rId14" Type="http://schemas.openxmlformats.org/officeDocument/2006/relationships/hyperlink" Target="mailto:petr.vymetal@vs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BE4FBF1-98C6-4B7B-BA2F-94EB55641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748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Kotora</dc:creator>
  <cp:lastModifiedBy>Lucia Vilimovská</cp:lastModifiedBy>
  <cp:revision>4</cp:revision>
  <cp:lastPrinted>2015-06-26T11:14:00Z</cp:lastPrinted>
  <dcterms:created xsi:type="dcterms:W3CDTF">2015-06-26T12:58:00Z</dcterms:created>
  <dcterms:modified xsi:type="dcterms:W3CDTF">2015-06-29T11:22:00Z</dcterms:modified>
</cp:coreProperties>
</file>