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8E" w:rsidRDefault="00E3338E"/>
    <w:p w:rsidR="00F82FA9" w:rsidRDefault="00F82FA9" w:rsidP="00F82FA9">
      <w:pPr>
        <w:rPr>
          <w:b/>
        </w:rPr>
      </w:pPr>
      <w:r>
        <w:rPr>
          <w:b/>
        </w:rPr>
        <w:t xml:space="preserve">TISKOVÁ ZPRÁVA TI, 15. dubna 2015 </w:t>
      </w:r>
    </w:p>
    <w:p w:rsidR="00F82FA9" w:rsidRPr="00F82FA9" w:rsidRDefault="00F82FA9" w:rsidP="00F82FA9">
      <w:pPr>
        <w:pStyle w:val="Vrazncitt"/>
        <w:pBdr>
          <w:bottom w:val="single" w:sz="4" w:space="3" w:color="4F81BD" w:themeColor="accent1"/>
        </w:pBdr>
        <w:ind w:left="0" w:right="26"/>
        <w:jc w:val="both"/>
        <w:rPr>
          <w:color w:val="0065B3"/>
          <w:sz w:val="28"/>
          <w:szCs w:val="28"/>
        </w:rPr>
      </w:pPr>
      <w:r w:rsidRPr="00F82FA9">
        <w:rPr>
          <w:color w:val="0065B3"/>
          <w:sz w:val="28"/>
          <w:szCs w:val="28"/>
        </w:rPr>
        <w:t>Neregulovaný lobbing v Evropě otevírá dveře korupci: Zpráva o 19 evropských zemích a 3 orgánech EU dokládá nepatřičný vliv na politiku v celém regionu a v Bruselu</w:t>
      </w:r>
    </w:p>
    <w:p w:rsidR="00F82FA9" w:rsidRDefault="00F82FA9" w:rsidP="00F82FA9">
      <w:pPr>
        <w:jc w:val="both"/>
        <w:rPr>
          <w:b/>
        </w:rPr>
      </w:pPr>
      <w:r>
        <w:rPr>
          <w:b/>
        </w:rPr>
        <w:t xml:space="preserve">Berlín, Brusel, Praha 15. 4. 2015 - </w:t>
      </w:r>
      <w:proofErr w:type="spellStart"/>
      <w:r>
        <w:rPr>
          <w:b/>
        </w:rPr>
        <w:t>Transparency</w:t>
      </w:r>
      <w:proofErr w:type="spellEnd"/>
      <w:r>
        <w:rPr>
          <w:b/>
        </w:rPr>
        <w:t xml:space="preserve"> International (TI) dnes zveřejnila zprávu</w:t>
      </w:r>
      <w:r w:rsidRPr="006269F6">
        <w:rPr>
          <w:b/>
        </w:rPr>
        <w:t xml:space="preserve"> „Lobbing v Evropě: skrytý vliv, privilegovaný přístup“, která</w:t>
      </w:r>
      <w:r>
        <w:rPr>
          <w:b/>
        </w:rPr>
        <w:t xml:space="preserve"> j</w:t>
      </w:r>
      <w:r w:rsidRPr="006269F6">
        <w:rPr>
          <w:b/>
        </w:rPr>
        <w:t>e vůbec prvním komplexním hodnocením lobbingu</w:t>
      </w:r>
      <w:r>
        <w:rPr>
          <w:b/>
        </w:rPr>
        <w:t xml:space="preserve"> a která </w:t>
      </w:r>
      <w:r w:rsidRPr="006269F6">
        <w:rPr>
          <w:b/>
        </w:rPr>
        <w:t>zkoumá, jak dobře je politické rozhodování chráněno před nežádoucím vlivem</w:t>
      </w:r>
      <w:r>
        <w:rPr>
          <w:b/>
        </w:rPr>
        <w:t>.</w:t>
      </w:r>
    </w:p>
    <w:p w:rsidR="00F82FA9" w:rsidRDefault="00F82FA9" w:rsidP="00F82FA9">
      <w:pPr>
        <w:jc w:val="both"/>
        <w:rPr>
          <w:b/>
          <w:strike/>
        </w:rPr>
      </w:pPr>
      <w:r>
        <w:rPr>
          <w:b/>
        </w:rPr>
        <w:t>Zkoumané země v průměru dosahují 31</w:t>
      </w:r>
      <w:r w:rsidR="00FD0C1A">
        <w:rPr>
          <w:b/>
        </w:rPr>
        <w:t xml:space="preserve"> </w:t>
      </w:r>
      <w:r>
        <w:rPr>
          <w:b/>
        </w:rPr>
        <w:t>% ideálního stavu, Česká republika pak dosahuje 29</w:t>
      </w:r>
      <w:r w:rsidR="00FD0C1A">
        <w:rPr>
          <w:b/>
        </w:rPr>
        <w:t xml:space="preserve"> </w:t>
      </w:r>
      <w:r>
        <w:rPr>
          <w:b/>
        </w:rPr>
        <w:t>%.</w:t>
      </w:r>
    </w:p>
    <w:p w:rsidR="00F82FA9" w:rsidRDefault="00F82FA9" w:rsidP="00F82FA9">
      <w:pPr>
        <w:jc w:val="both"/>
      </w:pPr>
      <w:proofErr w:type="spellStart"/>
      <w:r>
        <w:t>Transparency</w:t>
      </w:r>
      <w:proofErr w:type="spellEnd"/>
      <w:r>
        <w:t xml:space="preserve"> International dnes uvedla, že Evropa naléhavě potřebuje reformu lobbingu. Nová zpráva </w:t>
      </w:r>
      <w:proofErr w:type="spellStart"/>
      <w:r>
        <w:t>Transparency</w:t>
      </w:r>
      <w:proofErr w:type="spellEnd"/>
      <w:r>
        <w:t xml:space="preserve"> International zjistila, že z 19 hodnocených evropských zemí </w:t>
      </w:r>
      <w:r w:rsidR="00FD0C1A">
        <w:t xml:space="preserve">má </w:t>
      </w:r>
      <w:r>
        <w:t>jen 7 nějakou formu právních nebo správních předpisů zaměřených specificky na lobbing, což umožňuje téměř neomezený vliv podnikání na každodenní život Evropanů.</w:t>
      </w:r>
    </w:p>
    <w:p w:rsidR="00F82FA9" w:rsidRDefault="00F82FA9" w:rsidP="00F82FA9">
      <w:pPr>
        <w:jc w:val="both"/>
      </w:pPr>
      <w:r>
        <w:t xml:space="preserve">Přestože lobbing je nedílnou součástí zdravé demokracie, četné skandály v celé Evropě ukazují, že bez jasných a vymahatelných pravidel a předpisů mohou vybrané skupiny, které mají více finančních prostředků a vnitřních kontaktů, ovládat politické rozhodování </w:t>
      </w:r>
      <w:r w:rsidR="00FD0C1A">
        <w:t>–</w:t>
      </w:r>
      <w:r>
        <w:t xml:space="preserve"> obvykle</w:t>
      </w:r>
      <w:r w:rsidR="00FD0C1A">
        <w:t xml:space="preserve"> v</w:t>
      </w:r>
      <w:r>
        <w:t xml:space="preserve"> jejich vlastní prospěch.</w:t>
      </w:r>
    </w:p>
    <w:p w:rsidR="00F82FA9" w:rsidRDefault="00F82FA9" w:rsidP="00F82FA9">
      <w:pPr>
        <w:jc w:val="both"/>
      </w:pPr>
      <w:r>
        <w:t xml:space="preserve">Zpráva zkoumá lobbistické praktiky, jakož i to, zda existují pojistky k zajištění transparentního a etického lobbingu v Evropě a </w:t>
      </w:r>
      <w:proofErr w:type="gramStart"/>
      <w:r w:rsidR="00FD0C1A">
        <w:t>tří</w:t>
      </w:r>
      <w:proofErr w:type="gramEnd"/>
      <w:r w:rsidR="00FD0C1A">
        <w:t xml:space="preserve"> </w:t>
      </w:r>
      <w:r>
        <w:t xml:space="preserve">klíčových institucích Evropské unie. Zabývá se i tím, zda existují dostatečné mechanismy umožňující spravedlivý a rovný přístup k rozhodovacímu procesu, včetně např. práva na informace. </w:t>
      </w:r>
    </w:p>
    <w:p w:rsidR="00F82FA9" w:rsidRDefault="00F82FA9" w:rsidP="00F82FA9">
      <w:pPr>
        <w:jc w:val="both"/>
      </w:pPr>
      <w:r>
        <w:t>Jednotlivé státy a evropské instituce jsou hodnocen</w:t>
      </w:r>
      <w:r w:rsidR="00FD0C1A">
        <w:t>y</w:t>
      </w:r>
      <w:r>
        <w:t xml:space="preserve"> v procentech, nakolik se blíží ideálnímu stavu </w:t>
      </w:r>
      <w:proofErr w:type="gramStart"/>
      <w:r w:rsidR="00FD0C1A">
        <w:t>je</w:t>
      </w:r>
      <w:proofErr w:type="gramEnd"/>
      <w:r w:rsidR="00FD0C1A">
        <w:t xml:space="preserve"> </w:t>
      </w:r>
      <w:r>
        <w:t>měřeno podle mezinárodních standardů lobbingu a nejlepší praxe. 19 zemí dosáhlo společně pouze 31</w:t>
      </w:r>
      <w:r w:rsidR="00FD0C1A">
        <w:t xml:space="preserve"> </w:t>
      </w:r>
      <w:r>
        <w:t>% (ze 100</w:t>
      </w:r>
      <w:r w:rsidR="00FD0C1A">
        <w:t xml:space="preserve"> </w:t>
      </w:r>
      <w:r>
        <w:t>%),</w:t>
      </w:r>
    </w:p>
    <w:p w:rsidR="00F82FA9" w:rsidRDefault="00F82FA9" w:rsidP="00F82FA9">
      <w:pPr>
        <w:jc w:val="both"/>
      </w:pPr>
      <w:r>
        <w:t>Slovinsko je na špici s</w:t>
      </w:r>
      <w:r w:rsidR="00FD0C1A">
        <w:t> </w:t>
      </w:r>
      <w:r>
        <w:t>55</w:t>
      </w:r>
      <w:r w:rsidR="00FD0C1A">
        <w:t xml:space="preserve"> </w:t>
      </w:r>
      <w:r>
        <w:t>% vzhledem k tomu, že má specificky zaměřenou regulaci lobbingu, která však má své nedostatky a mezery. Kypr a Maďarsko se umístily na konci se 14</w:t>
      </w:r>
      <w:r w:rsidR="00FD0C1A">
        <w:t xml:space="preserve"> </w:t>
      </w:r>
      <w:r>
        <w:t>%</w:t>
      </w:r>
      <w:r w:rsidR="00FD0C1A">
        <w:t xml:space="preserve"> a</w:t>
      </w:r>
      <w:r>
        <w:t xml:space="preserve"> s nízkým hodnocením v téměř každé oblasti, zejména pokud jde o přístup k informacím.</w:t>
      </w:r>
    </w:p>
    <w:p w:rsidR="00F82FA9" w:rsidRDefault="00F82FA9" w:rsidP="00F82FA9">
      <w:pPr>
        <w:jc w:val="both"/>
      </w:pPr>
      <w:r>
        <w:t>Země, které postihla krize</w:t>
      </w:r>
      <w:r w:rsidR="00FD0C1A">
        <w:t xml:space="preserve"> - </w:t>
      </w:r>
      <w:r>
        <w:t xml:space="preserve">Itálie, Portugalsko a Španělsko </w:t>
      </w:r>
      <w:r w:rsidR="00FD0C1A">
        <w:t xml:space="preserve">- </w:t>
      </w:r>
      <w:r>
        <w:t xml:space="preserve">patří mezi pět zemí s nejhorším skóre, kde za mimořádně riskantní jsou považovány zejména úzké vztahy mezi veřejným a finančním sektorem. </w:t>
      </w:r>
    </w:p>
    <w:p w:rsidR="00F82FA9" w:rsidRPr="00F9325A" w:rsidRDefault="00F82FA9" w:rsidP="00F82FA9">
      <w:pPr>
        <w:jc w:val="both"/>
      </w:pPr>
      <w:r w:rsidRPr="00F9325A">
        <w:t>Česká republika získala 29</w:t>
      </w:r>
      <w:r w:rsidR="00FD0C1A">
        <w:t xml:space="preserve"> </w:t>
      </w:r>
      <w:r w:rsidRPr="00F9325A">
        <w:t xml:space="preserve">%, čímž se zařadila na konec první poloviny zkoumaných zemí.  </w:t>
      </w:r>
    </w:p>
    <w:p w:rsidR="00F82FA9" w:rsidRDefault="00F82FA9" w:rsidP="00F82FA9">
      <w:pPr>
        <w:jc w:val="both"/>
        <w:rPr>
          <w:b/>
        </w:rPr>
      </w:pPr>
    </w:p>
    <w:p w:rsidR="00F82FA9" w:rsidRDefault="00F82FA9" w:rsidP="00F82FA9">
      <w:pPr>
        <w:jc w:val="both"/>
        <w:rPr>
          <w:b/>
        </w:rPr>
      </w:pPr>
    </w:p>
    <w:p w:rsidR="00F82FA9" w:rsidRDefault="00F82FA9" w:rsidP="00F82FA9">
      <w:pPr>
        <w:jc w:val="both"/>
        <w:rPr>
          <w:b/>
        </w:rPr>
      </w:pPr>
    </w:p>
    <w:p w:rsidR="00F82FA9" w:rsidRDefault="00F82FA9" w:rsidP="00F82FA9">
      <w:pPr>
        <w:jc w:val="both"/>
        <w:rPr>
          <w:b/>
        </w:rPr>
      </w:pPr>
    </w:p>
    <w:p w:rsidR="00F82FA9" w:rsidRDefault="00F82FA9" w:rsidP="00F82FA9">
      <w:pPr>
        <w:jc w:val="both"/>
        <w:rPr>
          <w:b/>
        </w:rPr>
      </w:pPr>
      <w:r>
        <w:rPr>
          <w:b/>
        </w:rPr>
        <w:t>„</w:t>
      </w:r>
      <w:r w:rsidRPr="003B4E13">
        <w:rPr>
          <w:b/>
          <w:i/>
        </w:rPr>
        <w:t>Relativně dobrý výsledek ČR je dán zejména poměrně funkčním zákonem o svobodném přístupu k informacím, úspěchem jsou i změny jednacího řádu Sněmovny</w:t>
      </w:r>
      <w:r w:rsidR="00FD0C1A">
        <w:rPr>
          <w:b/>
          <w:i/>
        </w:rPr>
        <w:t>,</w:t>
      </w:r>
      <w:r>
        <w:rPr>
          <w:b/>
        </w:rPr>
        <w:t xml:space="preserve">“ </w:t>
      </w:r>
      <w:r w:rsidRPr="00361FBB">
        <w:rPr>
          <w:b/>
        </w:rPr>
        <w:t xml:space="preserve">říká k tomu programový ředitel </w:t>
      </w:r>
      <w:proofErr w:type="spellStart"/>
      <w:r w:rsidRPr="00361FBB">
        <w:rPr>
          <w:b/>
        </w:rPr>
        <w:t>Transparency</w:t>
      </w:r>
      <w:proofErr w:type="spellEnd"/>
      <w:r w:rsidRPr="00361FBB">
        <w:rPr>
          <w:b/>
        </w:rPr>
        <w:t xml:space="preserve"> International Česká republika Radim Bureš</w:t>
      </w:r>
      <w:r>
        <w:rPr>
          <w:b/>
        </w:rPr>
        <w:t>, „</w:t>
      </w:r>
      <w:r w:rsidRPr="003B4E13">
        <w:rPr>
          <w:b/>
          <w:i/>
        </w:rPr>
        <w:t>naopak velmi chybí transparentnější systém financování politických stran</w:t>
      </w:r>
      <w:r>
        <w:rPr>
          <w:b/>
        </w:rPr>
        <w:t>“.</w:t>
      </w:r>
    </w:p>
    <w:p w:rsidR="00F82FA9" w:rsidRPr="00ED75FB" w:rsidRDefault="00F82FA9" w:rsidP="00F82FA9">
      <w:pPr>
        <w:jc w:val="both"/>
      </w:pPr>
      <w:r w:rsidRPr="00ED75FB">
        <w:t xml:space="preserve">Zajímavé je i hodnocení orgánů Evropské </w:t>
      </w:r>
      <w:r>
        <w:t>unie</w:t>
      </w:r>
      <w:r w:rsidRPr="00ED75FB">
        <w:t xml:space="preserve"> – zatímco Evropská komise získala velmi slušných 53</w:t>
      </w:r>
      <w:r w:rsidR="00FD0C1A">
        <w:t xml:space="preserve"> </w:t>
      </w:r>
      <w:r w:rsidRPr="00ED75FB">
        <w:t>%,</w:t>
      </w:r>
      <w:r>
        <w:t xml:space="preserve"> zejména díky fungujícímu, byť dobrovolnému registru lobbistů, </w:t>
      </w:r>
      <w:r w:rsidRPr="00ED75FB">
        <w:t xml:space="preserve">Rada Evropské </w:t>
      </w:r>
      <w:r>
        <w:t>u</w:t>
      </w:r>
      <w:r w:rsidRPr="00ED75FB">
        <w:t>nie pouhých 19</w:t>
      </w:r>
      <w:r w:rsidR="00FD0C1A">
        <w:t xml:space="preserve"> </w:t>
      </w:r>
      <w:r w:rsidRPr="00ED75FB">
        <w:t>%, Evropský parlament pak 37</w:t>
      </w:r>
      <w:r w:rsidR="00FD0C1A">
        <w:t xml:space="preserve"> </w:t>
      </w:r>
      <w:r w:rsidRPr="00ED75FB">
        <w:t>%.</w:t>
      </w:r>
    </w:p>
    <w:p w:rsidR="00F82FA9" w:rsidRDefault="00F82FA9" w:rsidP="00F82FA9">
      <w:r>
        <w:t>Zpráva obsahuje několik doporučení k zajištění toho, aby lobbing nevedl ke korupci:</w:t>
      </w:r>
    </w:p>
    <w:p w:rsidR="00F82FA9" w:rsidRDefault="00F82FA9" w:rsidP="00F82FA9">
      <w:r>
        <w:t>Všechny země a instituce EU by měly:</w:t>
      </w:r>
    </w:p>
    <w:p w:rsidR="00F82FA9" w:rsidRDefault="00F82FA9" w:rsidP="00F82FA9">
      <w:pPr>
        <w:pStyle w:val="Odstavecseseznamem"/>
        <w:numPr>
          <w:ilvl w:val="0"/>
          <w:numId w:val="1"/>
        </w:numPr>
      </w:pPr>
      <w:r>
        <w:t>Přijmout široká a komplexní opatření k regulaci lobbingu, jež se týkají všech, kteří jsou do lobbingu zapojeni, i klíčových lobbistických cílů</w:t>
      </w:r>
    </w:p>
    <w:p w:rsidR="00F82FA9" w:rsidRDefault="00F82FA9" w:rsidP="00F82FA9">
      <w:pPr>
        <w:pStyle w:val="Odstavecseseznamem"/>
        <w:numPr>
          <w:ilvl w:val="0"/>
          <w:numId w:val="1"/>
        </w:numPr>
      </w:pPr>
      <w:r>
        <w:t>Zavést povinné registry lobbistů zaznamenávající podrobné informace o tom, koho lobbisté zastupují, ke komu se obrací a co se snaží ovlivnit</w:t>
      </w:r>
    </w:p>
    <w:p w:rsidR="00F82FA9" w:rsidRDefault="00F82FA9" w:rsidP="00F82FA9">
      <w:pPr>
        <w:pStyle w:val="Odstavecseseznamem"/>
        <w:numPr>
          <w:ilvl w:val="0"/>
          <w:numId w:val="1"/>
        </w:numPr>
      </w:pPr>
      <w:r>
        <w:t>Zavést "legislativní stopu" pro sledování a zveřejňování externích vstupů, které ovlivnily právní předpisy, stejně jako pro oznamování kontaktů mezi lobbisty a veřejnými činiteli</w:t>
      </w:r>
    </w:p>
    <w:p w:rsidR="00F82FA9" w:rsidRDefault="00F82FA9" w:rsidP="00F82FA9">
      <w:pPr>
        <w:pStyle w:val="Odstavecseseznamem"/>
        <w:numPr>
          <w:ilvl w:val="0"/>
          <w:numId w:val="1"/>
        </w:numPr>
      </w:pPr>
      <w:r>
        <w:t>Zavést nebo aktualizovat minimální časové období, po které nemohou bývalí veřejní činitelé nebo volení představitelé pracovat v lobbistických funkcích, jež by mohly vést ke střetu zájmů, nebo za něj být považovány.</w:t>
      </w:r>
    </w:p>
    <w:p w:rsidR="00F82FA9" w:rsidRDefault="00F82FA9" w:rsidP="00F82FA9">
      <w:r>
        <w:t>Všichni, kdo se snaží ovlivňovat veřejnou politiku, musí:</w:t>
      </w:r>
    </w:p>
    <w:p w:rsidR="00F82FA9" w:rsidRDefault="00F82FA9" w:rsidP="00F82FA9">
      <w:pPr>
        <w:pStyle w:val="Odstavecseseznamem"/>
        <w:numPr>
          <w:ilvl w:val="0"/>
          <w:numId w:val="2"/>
        </w:numPr>
      </w:pPr>
      <w:r>
        <w:t>Aktivně zveřejňovat informace o svých nátlakových a lobbistických aktivitách a výdajích včetně dokumentů, které byly politikům zaslány, a také své příspěvky politickým stranám či své zapojení do jejich aktivit</w:t>
      </w:r>
    </w:p>
    <w:p w:rsidR="00F82FA9" w:rsidRDefault="00F82FA9" w:rsidP="00F82FA9">
      <w:r>
        <w:t xml:space="preserve"> Jaká jsou specifická doporučení pro Českou republiku?</w:t>
      </w:r>
    </w:p>
    <w:p w:rsidR="00F82FA9" w:rsidRPr="00361FBB" w:rsidRDefault="00F82FA9" w:rsidP="00F82FA9">
      <w:pPr>
        <w:jc w:val="both"/>
        <w:rPr>
          <w:b/>
        </w:rPr>
      </w:pPr>
      <w:r w:rsidRPr="00361FBB">
        <w:rPr>
          <w:b/>
        </w:rPr>
        <w:t>„V malé zemi jako je Česká republika by asi povinný registr lobbistů a lobbistických kontaktů nevedl k žádoucímu cíli. Potřebné je zvyšovat transparentnost legislativního procesu, např. zavedením tzv. legislativní stopy</w:t>
      </w:r>
      <w:r w:rsidR="00FD0C1A">
        <w:rPr>
          <w:b/>
        </w:rPr>
        <w:t>,</w:t>
      </w:r>
      <w:r w:rsidRPr="00361FBB">
        <w:rPr>
          <w:b/>
        </w:rPr>
        <w:t xml:space="preserve">“ </w:t>
      </w:r>
      <w:r>
        <w:rPr>
          <w:b/>
        </w:rPr>
        <w:t xml:space="preserve">konstatuje </w:t>
      </w:r>
      <w:r w:rsidRPr="00361FBB">
        <w:rPr>
          <w:b/>
        </w:rPr>
        <w:t>Radim Bureš a dodává</w:t>
      </w:r>
      <w:r w:rsidR="00FD0C1A">
        <w:rPr>
          <w:b/>
        </w:rPr>
        <w:t>:</w:t>
      </w:r>
      <w:r w:rsidRPr="00361FBB">
        <w:rPr>
          <w:b/>
        </w:rPr>
        <w:t xml:space="preserve"> „nezbytná je i větší transparentnost nejen profesionálních lobbistů, ale všech lob</w:t>
      </w:r>
      <w:r w:rsidR="00FD0C1A">
        <w:rPr>
          <w:b/>
        </w:rPr>
        <w:t>b</w:t>
      </w:r>
      <w:r w:rsidRPr="00361FBB">
        <w:rPr>
          <w:b/>
        </w:rPr>
        <w:t>ujících subjektů“.</w:t>
      </w:r>
    </w:p>
    <w:p w:rsidR="00F82FA9" w:rsidRPr="003B4E13" w:rsidRDefault="00F82FA9" w:rsidP="00F82FA9">
      <w:pPr>
        <w:jc w:val="both"/>
        <w:rPr>
          <w:b/>
        </w:rPr>
      </w:pPr>
      <w:r w:rsidRPr="003B4E13">
        <w:t>Celá zpráva „</w:t>
      </w:r>
      <w:r w:rsidRPr="00015DBB">
        <w:rPr>
          <w:b/>
        </w:rPr>
        <w:t xml:space="preserve">Lobbing </w:t>
      </w:r>
      <w:r w:rsidRPr="003B4E13">
        <w:rPr>
          <w:b/>
        </w:rPr>
        <w:t xml:space="preserve">v Evropě: skrytý vliv, privilegovaný přístup" </w:t>
      </w:r>
      <w:r w:rsidRPr="003B4E13">
        <w:t xml:space="preserve">v angličtině </w:t>
      </w:r>
      <w:r>
        <w:t>j</w:t>
      </w:r>
      <w:r w:rsidRPr="003B4E13">
        <w:t xml:space="preserve">e k dispozici na </w:t>
      </w:r>
      <w:r w:rsidRPr="003B4E13">
        <w:rPr>
          <w:b/>
        </w:rPr>
        <w:t>www.transparency.cz a na www.transparency.or</w:t>
      </w:r>
      <w:r>
        <w:rPr>
          <w:b/>
        </w:rPr>
        <w:t>g</w:t>
      </w:r>
      <w:r w:rsidRPr="003B4E13">
        <w:rPr>
          <w:b/>
        </w:rPr>
        <w:t>.</w:t>
      </w:r>
    </w:p>
    <w:p w:rsidR="00F82FA9" w:rsidRPr="00361FBB" w:rsidRDefault="00F82FA9" w:rsidP="00F82FA9">
      <w:pPr>
        <w:rPr>
          <w:b/>
          <w:u w:val="single"/>
        </w:rPr>
      </w:pPr>
      <w:bookmarkStart w:id="0" w:name="_GoBack"/>
      <w:r w:rsidRPr="00361FBB">
        <w:rPr>
          <w:b/>
          <w:u w:val="single"/>
        </w:rPr>
        <w:t>Kontakt pro média:</w:t>
      </w:r>
    </w:p>
    <w:p w:rsidR="00F82FA9" w:rsidRDefault="00F82FA9" w:rsidP="00F82FA9">
      <w:pPr>
        <w:spacing w:after="0"/>
      </w:pPr>
      <w:r>
        <w:t xml:space="preserve">Radim Bureš, Programový ředitel </w:t>
      </w:r>
      <w:proofErr w:type="spellStart"/>
      <w:r>
        <w:t>Transparency</w:t>
      </w:r>
      <w:proofErr w:type="spellEnd"/>
      <w:r>
        <w:t xml:space="preserve"> International Česká republika</w:t>
      </w:r>
    </w:p>
    <w:p w:rsidR="00F82FA9" w:rsidRDefault="00F82FA9" w:rsidP="00F82FA9">
      <w:pPr>
        <w:spacing w:after="0"/>
      </w:pPr>
      <w:r>
        <w:t>Mobil: +420 733 666 008</w:t>
      </w:r>
    </w:p>
    <w:p w:rsidR="00F82FA9" w:rsidRDefault="00F82FA9" w:rsidP="00F82FA9">
      <w:pPr>
        <w:spacing w:after="0"/>
      </w:pPr>
      <w:r>
        <w:t xml:space="preserve">E-mail: </w:t>
      </w:r>
      <w:hyperlink r:id="rId8" w:history="1">
        <w:r w:rsidRPr="00CD0C3C">
          <w:rPr>
            <w:rStyle w:val="Hypertextovodkaz"/>
          </w:rPr>
          <w:t>bures@transparency.cz</w:t>
        </w:r>
      </w:hyperlink>
      <w:r>
        <w:t xml:space="preserve"> </w:t>
      </w:r>
      <w:bookmarkEnd w:id="0"/>
      <w:r>
        <w:br w:type="page"/>
      </w:r>
    </w:p>
    <w:p w:rsidR="00F82FA9" w:rsidRDefault="00F82FA9" w:rsidP="00F82FA9">
      <w:pPr>
        <w:rPr>
          <w:u w:val="single"/>
        </w:rPr>
      </w:pPr>
    </w:p>
    <w:p w:rsidR="00F82FA9" w:rsidRPr="007560F0" w:rsidRDefault="00F82FA9" w:rsidP="00F82FA9">
      <w:pPr>
        <w:rPr>
          <w:u w:val="single"/>
        </w:rPr>
      </w:pPr>
      <w:r w:rsidRPr="007560F0">
        <w:rPr>
          <w:u w:val="single"/>
        </w:rPr>
        <w:t>Příloha č. 1:</w:t>
      </w:r>
    </w:p>
    <w:p w:rsidR="00F82FA9" w:rsidRPr="003B4E13" w:rsidRDefault="00F82FA9" w:rsidP="00F82FA9">
      <w:pPr>
        <w:rPr>
          <w:b/>
        </w:rPr>
      </w:pPr>
      <w:r w:rsidRPr="003B4E13">
        <w:rPr>
          <w:b/>
        </w:rPr>
        <w:t>Celkové skóre jednotlivých zemí a institucí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2FA9" w:rsidTr="00F82FA9">
        <w:tc>
          <w:tcPr>
            <w:tcW w:w="9212" w:type="dxa"/>
            <w:gridSpan w:val="2"/>
            <w:shd w:val="clear" w:color="auto" w:fill="0065B3"/>
          </w:tcPr>
          <w:p w:rsidR="00F82FA9" w:rsidRPr="00F82FA9" w:rsidRDefault="00F82FA9" w:rsidP="008C3704">
            <w:pPr>
              <w:rPr>
                <w:b/>
                <w:color w:val="FFFFFF" w:themeColor="background1"/>
              </w:rPr>
            </w:pPr>
            <w:r w:rsidRPr="00F82FA9">
              <w:rPr>
                <w:b/>
                <w:color w:val="FFFFFF" w:themeColor="background1"/>
              </w:rPr>
              <w:t xml:space="preserve">Jak silné jsou záruky proti nepatřičnému vlivu a pravidla pro prosazování etického lobbingu v evropských politických systémech? </w:t>
            </w:r>
          </w:p>
          <w:p w:rsidR="00F82FA9" w:rsidRPr="00F82FA9" w:rsidRDefault="00F82FA9" w:rsidP="008C3704">
            <w:pPr>
              <w:rPr>
                <w:b/>
                <w:color w:val="FFFFFF" w:themeColor="background1"/>
              </w:rPr>
            </w:pPr>
          </w:p>
          <w:p w:rsidR="00F82FA9" w:rsidRPr="00F82FA9" w:rsidRDefault="00F82FA9" w:rsidP="008C3704">
            <w:pPr>
              <w:rPr>
                <w:b/>
                <w:color w:val="FFFFFF" w:themeColor="background1"/>
              </w:rPr>
            </w:pPr>
            <w:r w:rsidRPr="00F82FA9">
              <w:rPr>
                <w:b/>
                <w:color w:val="FFFFFF" w:themeColor="background1"/>
              </w:rPr>
              <w:t>Škála 0-100, kde 0 je nejslabší a 100 je nejsilnější.</w:t>
            </w:r>
          </w:p>
          <w:p w:rsidR="00F82FA9" w:rsidRDefault="00F82FA9" w:rsidP="008C3704"/>
        </w:tc>
      </w:tr>
      <w:tr w:rsidR="00F82FA9" w:rsidTr="00F82FA9">
        <w:tc>
          <w:tcPr>
            <w:tcW w:w="4606" w:type="dxa"/>
            <w:shd w:val="clear" w:color="auto" w:fill="C6EAFA"/>
          </w:tcPr>
          <w:p w:rsidR="00F82FA9" w:rsidRPr="009B180C" w:rsidRDefault="00F82FA9" w:rsidP="008C3704">
            <w:pPr>
              <w:rPr>
                <w:b/>
              </w:rPr>
            </w:pPr>
            <w:r w:rsidRPr="009B180C">
              <w:rPr>
                <w:b/>
              </w:rPr>
              <w:t>Země/instituce</w:t>
            </w:r>
          </w:p>
        </w:tc>
        <w:tc>
          <w:tcPr>
            <w:tcW w:w="4606" w:type="dxa"/>
            <w:shd w:val="clear" w:color="auto" w:fill="C6EAFA"/>
          </w:tcPr>
          <w:p w:rsidR="00F82FA9" w:rsidRPr="009B180C" w:rsidRDefault="00F82FA9" w:rsidP="008C3704">
            <w:pPr>
              <w:rPr>
                <w:b/>
              </w:rPr>
            </w:pPr>
            <w:r w:rsidRPr="009B180C">
              <w:rPr>
                <w:b/>
              </w:rPr>
              <w:t>Celkové skóre (%)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Slovinsko</w:t>
            </w:r>
          </w:p>
        </w:tc>
        <w:tc>
          <w:tcPr>
            <w:tcW w:w="4606" w:type="dxa"/>
          </w:tcPr>
          <w:p w:rsidR="00F82FA9" w:rsidRDefault="00F82FA9" w:rsidP="008C3704">
            <w:r>
              <w:t>55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Evropská komise</w:t>
            </w:r>
          </w:p>
        </w:tc>
        <w:tc>
          <w:tcPr>
            <w:tcW w:w="4606" w:type="dxa"/>
          </w:tcPr>
          <w:p w:rsidR="00F82FA9" w:rsidRDefault="00F82FA9" w:rsidP="008C3704">
            <w:r>
              <w:t>53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Litva</w:t>
            </w:r>
          </w:p>
        </w:tc>
        <w:tc>
          <w:tcPr>
            <w:tcW w:w="4606" w:type="dxa"/>
          </w:tcPr>
          <w:p w:rsidR="00F82FA9" w:rsidRDefault="00F82FA9" w:rsidP="008C3704">
            <w:r>
              <w:t>50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Velká Británie</w:t>
            </w:r>
          </w:p>
        </w:tc>
        <w:tc>
          <w:tcPr>
            <w:tcW w:w="4606" w:type="dxa"/>
          </w:tcPr>
          <w:p w:rsidR="00F82FA9" w:rsidRDefault="00F82FA9" w:rsidP="008C3704">
            <w:r>
              <w:t>44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Rakousko</w:t>
            </w:r>
          </w:p>
        </w:tc>
        <w:tc>
          <w:tcPr>
            <w:tcW w:w="4606" w:type="dxa"/>
          </w:tcPr>
          <w:p w:rsidR="00F82FA9" w:rsidRDefault="00F82FA9" w:rsidP="008C3704">
            <w:r>
              <w:t>40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Irsko</w:t>
            </w:r>
          </w:p>
        </w:tc>
        <w:tc>
          <w:tcPr>
            <w:tcW w:w="4606" w:type="dxa"/>
          </w:tcPr>
          <w:p w:rsidR="00F82FA9" w:rsidRDefault="00F82FA9" w:rsidP="008C3704">
            <w:r>
              <w:t>39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Lotyšsko</w:t>
            </w:r>
          </w:p>
        </w:tc>
        <w:tc>
          <w:tcPr>
            <w:tcW w:w="4606" w:type="dxa"/>
          </w:tcPr>
          <w:p w:rsidR="00F82FA9" w:rsidRDefault="00F82FA9" w:rsidP="008C3704">
            <w:r>
              <w:t>39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Evropský parlament</w:t>
            </w:r>
          </w:p>
        </w:tc>
        <w:tc>
          <w:tcPr>
            <w:tcW w:w="4606" w:type="dxa"/>
          </w:tcPr>
          <w:p w:rsidR="00F82FA9" w:rsidRDefault="00F82FA9" w:rsidP="008C3704">
            <w:r>
              <w:t>37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Nizozemí</w:t>
            </w:r>
          </w:p>
        </w:tc>
        <w:tc>
          <w:tcPr>
            <w:tcW w:w="4606" w:type="dxa"/>
          </w:tcPr>
          <w:p w:rsidR="00F82FA9" w:rsidRDefault="00F82FA9" w:rsidP="008C3704">
            <w:r>
              <w:t>34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Polsko</w:t>
            </w:r>
          </w:p>
        </w:tc>
        <w:tc>
          <w:tcPr>
            <w:tcW w:w="4606" w:type="dxa"/>
          </w:tcPr>
          <w:p w:rsidR="00F82FA9" w:rsidRDefault="00F82FA9" w:rsidP="008C3704">
            <w:r>
              <w:t>33</w:t>
            </w:r>
          </w:p>
        </w:tc>
      </w:tr>
      <w:tr w:rsidR="00F82FA9" w:rsidTr="008C3704">
        <w:tc>
          <w:tcPr>
            <w:tcW w:w="4606" w:type="dxa"/>
          </w:tcPr>
          <w:p w:rsidR="00F82FA9" w:rsidRPr="00F82FA9" w:rsidRDefault="00F82FA9" w:rsidP="008C3704">
            <w:pPr>
              <w:rPr>
                <w:b/>
              </w:rPr>
            </w:pPr>
            <w:r w:rsidRPr="00F82FA9">
              <w:rPr>
                <w:b/>
              </w:rPr>
              <w:t>Česká republika</w:t>
            </w:r>
          </w:p>
        </w:tc>
        <w:tc>
          <w:tcPr>
            <w:tcW w:w="4606" w:type="dxa"/>
          </w:tcPr>
          <w:p w:rsidR="00F82FA9" w:rsidRPr="00F82FA9" w:rsidRDefault="00F82FA9" w:rsidP="008C3704">
            <w:pPr>
              <w:rPr>
                <w:b/>
              </w:rPr>
            </w:pPr>
            <w:r w:rsidRPr="00F82FA9">
              <w:rPr>
                <w:b/>
              </w:rPr>
              <w:t>29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Estonsko</w:t>
            </w:r>
          </w:p>
        </w:tc>
        <w:tc>
          <w:tcPr>
            <w:tcW w:w="4606" w:type="dxa"/>
          </w:tcPr>
          <w:p w:rsidR="00F82FA9" w:rsidRDefault="00F82FA9" w:rsidP="008C3704">
            <w:r>
              <w:t>29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Francie</w:t>
            </w:r>
          </w:p>
        </w:tc>
        <w:tc>
          <w:tcPr>
            <w:tcW w:w="4606" w:type="dxa"/>
          </w:tcPr>
          <w:p w:rsidR="00F82FA9" w:rsidRDefault="00F82FA9" w:rsidP="008C3704">
            <w:r>
              <w:t>27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Slovensko</w:t>
            </w:r>
          </w:p>
        </w:tc>
        <w:tc>
          <w:tcPr>
            <w:tcW w:w="4606" w:type="dxa"/>
          </w:tcPr>
          <w:p w:rsidR="00F82FA9" w:rsidRDefault="00F82FA9" w:rsidP="008C3704">
            <w:r>
              <w:t>26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Bulharsko</w:t>
            </w:r>
          </w:p>
        </w:tc>
        <w:tc>
          <w:tcPr>
            <w:tcW w:w="4606" w:type="dxa"/>
          </w:tcPr>
          <w:p w:rsidR="00F82FA9" w:rsidRDefault="00F82FA9" w:rsidP="008C3704">
            <w:r>
              <w:t>25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Německo</w:t>
            </w:r>
          </w:p>
        </w:tc>
        <w:tc>
          <w:tcPr>
            <w:tcW w:w="4606" w:type="dxa"/>
          </w:tcPr>
          <w:p w:rsidR="00F82FA9" w:rsidRDefault="00F82FA9" w:rsidP="008C3704">
            <w:r>
              <w:t>23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Portugalsko</w:t>
            </w:r>
          </w:p>
        </w:tc>
        <w:tc>
          <w:tcPr>
            <w:tcW w:w="4606" w:type="dxa"/>
          </w:tcPr>
          <w:p w:rsidR="00F82FA9" w:rsidRDefault="00F82FA9" w:rsidP="008C3704">
            <w:r>
              <w:t>23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Španělsko</w:t>
            </w:r>
          </w:p>
        </w:tc>
        <w:tc>
          <w:tcPr>
            <w:tcW w:w="4606" w:type="dxa"/>
          </w:tcPr>
          <w:p w:rsidR="00F82FA9" w:rsidRDefault="00F82FA9" w:rsidP="008C3704">
            <w:r>
              <w:t>21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Itálie</w:t>
            </w:r>
          </w:p>
        </w:tc>
        <w:tc>
          <w:tcPr>
            <w:tcW w:w="4606" w:type="dxa"/>
          </w:tcPr>
          <w:p w:rsidR="00F82FA9" w:rsidRDefault="00F82FA9" w:rsidP="008C3704">
            <w:r>
              <w:t>20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Rada Evropské unie</w:t>
            </w:r>
          </w:p>
        </w:tc>
        <w:tc>
          <w:tcPr>
            <w:tcW w:w="4606" w:type="dxa"/>
          </w:tcPr>
          <w:p w:rsidR="00F82FA9" w:rsidRDefault="00F82FA9" w:rsidP="008C3704">
            <w:r>
              <w:t>19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Maďarsko</w:t>
            </w:r>
          </w:p>
        </w:tc>
        <w:tc>
          <w:tcPr>
            <w:tcW w:w="4606" w:type="dxa"/>
          </w:tcPr>
          <w:p w:rsidR="00F82FA9" w:rsidRDefault="00F82FA9" w:rsidP="008C3704">
            <w:r>
              <w:t>14</w:t>
            </w:r>
          </w:p>
        </w:tc>
      </w:tr>
      <w:tr w:rsidR="00F82FA9" w:rsidTr="008C3704">
        <w:tc>
          <w:tcPr>
            <w:tcW w:w="4606" w:type="dxa"/>
          </w:tcPr>
          <w:p w:rsidR="00F82FA9" w:rsidRDefault="00F82FA9" w:rsidP="008C3704">
            <w:r>
              <w:t>Kypr</w:t>
            </w:r>
          </w:p>
        </w:tc>
        <w:tc>
          <w:tcPr>
            <w:tcW w:w="4606" w:type="dxa"/>
          </w:tcPr>
          <w:p w:rsidR="00F82FA9" w:rsidRDefault="00F82FA9" w:rsidP="008C3704">
            <w:r>
              <w:t>14</w:t>
            </w:r>
          </w:p>
        </w:tc>
      </w:tr>
      <w:tr w:rsidR="00F82FA9" w:rsidTr="008C3704">
        <w:tc>
          <w:tcPr>
            <w:tcW w:w="4606" w:type="dxa"/>
          </w:tcPr>
          <w:p w:rsidR="00F82FA9" w:rsidRPr="009B180C" w:rsidRDefault="00F82FA9" w:rsidP="008C3704">
            <w:pPr>
              <w:rPr>
                <w:b/>
              </w:rPr>
            </w:pPr>
            <w:r w:rsidRPr="009B180C">
              <w:rPr>
                <w:b/>
              </w:rPr>
              <w:t>Průměr v regionu</w:t>
            </w:r>
          </w:p>
        </w:tc>
        <w:tc>
          <w:tcPr>
            <w:tcW w:w="4606" w:type="dxa"/>
          </w:tcPr>
          <w:p w:rsidR="00F82FA9" w:rsidRPr="009B180C" w:rsidRDefault="00F82FA9" w:rsidP="008C3704">
            <w:pPr>
              <w:rPr>
                <w:b/>
              </w:rPr>
            </w:pPr>
            <w:r w:rsidRPr="009B180C">
              <w:rPr>
                <w:b/>
              </w:rPr>
              <w:t>31</w:t>
            </w:r>
          </w:p>
        </w:tc>
      </w:tr>
    </w:tbl>
    <w:p w:rsidR="00F82FA9" w:rsidRDefault="00F82FA9" w:rsidP="00F82FA9"/>
    <w:p w:rsidR="00F82FA9" w:rsidRDefault="00F82FA9" w:rsidP="00F82FA9"/>
    <w:p w:rsidR="00F82FA9" w:rsidRDefault="00F82FA9" w:rsidP="00F82FA9">
      <w:r>
        <w:br w:type="page"/>
      </w:r>
    </w:p>
    <w:p w:rsidR="00F82FA9" w:rsidRDefault="00F82FA9" w:rsidP="00F82FA9">
      <w:pPr>
        <w:rPr>
          <w:u w:val="single"/>
        </w:rPr>
      </w:pPr>
    </w:p>
    <w:p w:rsidR="00F82FA9" w:rsidRPr="007560F0" w:rsidRDefault="00F82FA9" w:rsidP="00F82FA9">
      <w:pPr>
        <w:rPr>
          <w:u w:val="single"/>
        </w:rPr>
      </w:pPr>
      <w:r w:rsidRPr="007560F0">
        <w:rPr>
          <w:u w:val="single"/>
        </w:rPr>
        <w:t>Příloha č. 2:</w:t>
      </w:r>
    </w:p>
    <w:p w:rsidR="00F82FA9" w:rsidRPr="007560F0" w:rsidRDefault="00F82FA9" w:rsidP="00F82FA9">
      <w:pPr>
        <w:rPr>
          <w:b/>
        </w:rPr>
      </w:pPr>
      <w:r w:rsidRPr="007560F0">
        <w:rPr>
          <w:b/>
        </w:rPr>
        <w:t>Jak výzkum probíhal?</w:t>
      </w:r>
    </w:p>
    <w:p w:rsidR="00F82FA9" w:rsidRDefault="00F82FA9" w:rsidP="00F82FA9">
      <w:pPr>
        <w:jc w:val="both"/>
      </w:pPr>
      <w:r>
        <w:t>Zpráva shrnuje výsledky 19 národních průzkumů realizovaných v roce 2014, které zkoumaly praxi v oblasti lobbingu a pokusy o jeho regulaci v celé Evropě.</w:t>
      </w:r>
    </w:p>
    <w:p w:rsidR="00F82FA9" w:rsidRDefault="00F82FA9" w:rsidP="00F82FA9">
      <w:pPr>
        <w:jc w:val="both"/>
        <w:rPr>
          <w:b/>
        </w:rPr>
      </w:pPr>
      <w:r>
        <w:t xml:space="preserve">Rámec průzkumu vytvořila </w:t>
      </w:r>
      <w:proofErr w:type="spellStart"/>
      <w:r>
        <w:t>Transparency</w:t>
      </w:r>
      <w:proofErr w:type="spellEnd"/>
      <w:r>
        <w:t xml:space="preserve"> International s odkazem na mezinárodně uznávané normy o regulaci lobbingu a prevenci nepatřičného vlivu.  Na jejich základě byla vytvořena metodika skládající se </w:t>
      </w:r>
      <w:proofErr w:type="gramStart"/>
      <w:r>
        <w:t>ze</w:t>
      </w:r>
      <w:proofErr w:type="gramEnd"/>
      <w:r>
        <w:t xml:space="preserve"> 65 indikátorů. Ty zahrnují 3 základní a 10 dílčích aspektů, které lobbing komplexně pokrývají. Třemi základními aspekty </w:t>
      </w:r>
      <w:r w:rsidRPr="007560F0">
        <w:rPr>
          <w:b/>
        </w:rPr>
        <w:t>jsou</w:t>
      </w:r>
      <w:r>
        <w:rPr>
          <w:b/>
        </w:rPr>
        <w:t>:</w:t>
      </w:r>
    </w:p>
    <w:p w:rsidR="00F82FA9" w:rsidRDefault="00F82FA9" w:rsidP="00F82FA9">
      <w:pPr>
        <w:jc w:val="both"/>
        <w:rPr>
          <w:b/>
        </w:rPr>
      </w:pPr>
      <w:r>
        <w:rPr>
          <w:b/>
        </w:rPr>
        <w:t>1) Transparentnost</w:t>
      </w:r>
    </w:p>
    <w:p w:rsidR="00F82FA9" w:rsidRPr="007560F0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 w:rsidRPr="007560F0">
        <w:t>Svobodný přístup k informacím</w:t>
      </w:r>
    </w:p>
    <w:p w:rsidR="00F82FA9" w:rsidRPr="007560F0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 w:rsidRPr="007560F0">
        <w:t>Registr lobbistů</w:t>
      </w:r>
    </w:p>
    <w:p w:rsidR="00F82FA9" w:rsidRPr="007560F0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 w:rsidRPr="007560F0">
        <w:t>Dohled nad lobbingem a sankce za neevidovaný lobbing</w:t>
      </w:r>
    </w:p>
    <w:p w:rsidR="00F82FA9" w:rsidRPr="007560F0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 w:rsidRPr="007560F0">
        <w:t>Legislativní stopa</w:t>
      </w:r>
    </w:p>
    <w:p w:rsidR="00F82FA9" w:rsidRDefault="00F82FA9" w:rsidP="00F82FA9">
      <w:pPr>
        <w:jc w:val="both"/>
        <w:rPr>
          <w:b/>
        </w:rPr>
      </w:pPr>
      <w:r>
        <w:rPr>
          <w:b/>
        </w:rPr>
        <w:t>2) I</w:t>
      </w:r>
      <w:r w:rsidRPr="007560F0">
        <w:rPr>
          <w:b/>
        </w:rPr>
        <w:t xml:space="preserve">ntegrita </w:t>
      </w:r>
    </w:p>
    <w:p w:rsidR="00F82FA9" w:rsidRPr="007560F0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 w:rsidRPr="007560F0">
        <w:t xml:space="preserve">Omezení přestupu do soukromé sféry </w:t>
      </w:r>
    </w:p>
    <w:p w:rsidR="00F82FA9" w:rsidRPr="007560F0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 w:rsidRPr="007560F0">
        <w:t>Etický kodex státních zaměstnanců/zaměstnanců veřejné sféry</w:t>
      </w:r>
    </w:p>
    <w:p w:rsidR="00F82FA9" w:rsidRPr="007560F0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 w:rsidRPr="007560F0">
        <w:t>Etický kodex lobbistů</w:t>
      </w:r>
    </w:p>
    <w:p w:rsidR="00F82FA9" w:rsidRPr="007560F0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proofErr w:type="spellStart"/>
      <w:r w:rsidRPr="007560F0">
        <w:t>Seberegulující</w:t>
      </w:r>
      <w:proofErr w:type="spellEnd"/>
      <w:r w:rsidRPr="007560F0">
        <w:t xml:space="preserve"> kodexy lobbistických organizací</w:t>
      </w:r>
    </w:p>
    <w:p w:rsidR="00F82FA9" w:rsidRDefault="00F82FA9" w:rsidP="00F82FA9">
      <w:pPr>
        <w:jc w:val="both"/>
        <w:rPr>
          <w:b/>
        </w:rPr>
      </w:pPr>
    </w:p>
    <w:p w:rsidR="00F82FA9" w:rsidRPr="007560F0" w:rsidRDefault="00F82FA9" w:rsidP="00F82FA9">
      <w:pPr>
        <w:spacing w:after="0"/>
        <w:jc w:val="both"/>
        <w:rPr>
          <w:b/>
        </w:rPr>
      </w:pPr>
      <w:r w:rsidRPr="007560F0">
        <w:rPr>
          <w:b/>
        </w:rPr>
        <w:t>3)Rovnost přístupu</w:t>
      </w:r>
    </w:p>
    <w:p w:rsidR="00F82FA9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>
        <w:t>Veřejné konzultace a účast veřejnosti na rozhodování</w:t>
      </w:r>
    </w:p>
    <w:p w:rsidR="00F82FA9" w:rsidRDefault="00F82FA9" w:rsidP="00F82FA9">
      <w:pPr>
        <w:pStyle w:val="Odstavecseseznamem"/>
        <w:numPr>
          <w:ilvl w:val="2"/>
          <w:numId w:val="2"/>
        </w:numPr>
        <w:spacing w:after="0"/>
        <w:jc w:val="both"/>
      </w:pPr>
      <w:r>
        <w:t>Transparentnost expertů a poradních skupin, které se podílejí na přípravě rozhodnutí</w:t>
      </w:r>
    </w:p>
    <w:p w:rsidR="00F82FA9" w:rsidRDefault="00F82FA9" w:rsidP="00F82FA9">
      <w:pPr>
        <w:jc w:val="both"/>
      </w:pPr>
    </w:p>
    <w:p w:rsidR="00F82FA9" w:rsidRDefault="00F82FA9" w:rsidP="00F82FA9">
      <w:pPr>
        <w:jc w:val="both"/>
        <w:rPr>
          <w:b/>
        </w:rPr>
      </w:pPr>
      <w:r>
        <w:t>Výzkum byl realizován od března do srpna 2014. Zahrnoval počáteční studium právních a politických dokumentů a existující sekundární data. Národní výzkumní pracovníci pak realizovali podrobné rozhovory s politiky, lobbisty a odborníky na lobbing.</w:t>
      </w:r>
    </w:p>
    <w:p w:rsidR="00F82FA9" w:rsidRPr="007560F0" w:rsidRDefault="00F82FA9" w:rsidP="00F82FA9">
      <w:pPr>
        <w:jc w:val="both"/>
        <w:rPr>
          <w:b/>
        </w:rPr>
      </w:pPr>
      <w:r w:rsidRPr="007560F0">
        <w:rPr>
          <w:b/>
        </w:rPr>
        <w:t>Jaká je definice lobbingu?</w:t>
      </w:r>
    </w:p>
    <w:p w:rsidR="00F82FA9" w:rsidRDefault="00F82FA9" w:rsidP="00F82FA9">
      <w:pPr>
        <w:jc w:val="both"/>
      </w:pPr>
      <w:r>
        <w:t>Lobbing je jakákoli přímá nebo nepřímá komunikace s úředníky veřejné správy a politiky za účelem ovlivnit rozhodování ve veřejných záležitostech, která se realizuje jménem jakékoliv organizované skupiny.</w:t>
      </w:r>
    </w:p>
    <w:p w:rsidR="00F82FA9" w:rsidRDefault="00F82FA9" w:rsidP="00F82FA9"/>
    <w:p w:rsidR="00A53006" w:rsidRPr="00026D61" w:rsidRDefault="00026D61" w:rsidP="00026D61">
      <w:pPr>
        <w:tabs>
          <w:tab w:val="left" w:pos="3585"/>
        </w:tabs>
      </w:pPr>
      <w:r>
        <w:tab/>
      </w:r>
    </w:p>
    <w:sectPr w:rsidR="00A53006" w:rsidRPr="00026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06" w:rsidRDefault="00A53006" w:rsidP="00A53006">
      <w:pPr>
        <w:spacing w:after="0" w:line="240" w:lineRule="auto"/>
      </w:pPr>
      <w:r>
        <w:separator/>
      </w:r>
    </w:p>
  </w:endnote>
  <w:endnote w:type="continuationSeparator" w:id="0">
    <w:p w:rsidR="00A53006" w:rsidRDefault="00A53006" w:rsidP="00A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proofErr w:type="gramEnd"/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B2766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proofErr w:type="gramStart"/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proofErr w:type="gramEnd"/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B2766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A53006" w:rsidRPr="00786744" w:rsidRDefault="002E4134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proofErr w:type="spellStart"/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>Transparency</w:t>
    </w:r>
    <w:proofErr w:type="spellEnd"/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 International </w:t>
    </w:r>
    <w:r w:rsidR="00C23101" w:rsidRPr="00786744">
      <w:rPr>
        <w:rFonts w:ascii="Oswald" w:hAnsi="Oswald"/>
        <w:color w:val="808080" w:themeColor="background1" w:themeShade="80"/>
        <w:sz w:val="16"/>
        <w:szCs w:val="16"/>
      </w:rPr>
      <w:t xml:space="preserve">-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Česká republika, o. p. s. | Sokolovská 260/143, 180 00 Praha 8, Česká republika | </w:t>
    </w:r>
  </w:p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06" w:rsidRDefault="00A53006" w:rsidP="00A53006">
      <w:pPr>
        <w:spacing w:after="0" w:line="240" w:lineRule="auto"/>
      </w:pPr>
      <w:r>
        <w:separator/>
      </w:r>
    </w:p>
  </w:footnote>
  <w:footnote w:type="continuationSeparator" w:id="0">
    <w:p w:rsidR="00A53006" w:rsidRDefault="00A53006" w:rsidP="00A5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4F82A0" wp14:editId="0B531636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432"/>
    <w:multiLevelType w:val="hybridMultilevel"/>
    <w:tmpl w:val="02C8E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A54"/>
    <w:multiLevelType w:val="hybridMultilevel"/>
    <w:tmpl w:val="AC5A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911EA"/>
    <w:rsid w:val="002E4134"/>
    <w:rsid w:val="00445F84"/>
    <w:rsid w:val="00585C70"/>
    <w:rsid w:val="00590AF9"/>
    <w:rsid w:val="005C096E"/>
    <w:rsid w:val="006538FF"/>
    <w:rsid w:val="00786744"/>
    <w:rsid w:val="007C6326"/>
    <w:rsid w:val="00817E07"/>
    <w:rsid w:val="00960D2E"/>
    <w:rsid w:val="00966C16"/>
    <w:rsid w:val="00A128BA"/>
    <w:rsid w:val="00A53006"/>
    <w:rsid w:val="00C23101"/>
    <w:rsid w:val="00C8793C"/>
    <w:rsid w:val="00CA72FB"/>
    <w:rsid w:val="00DB2766"/>
    <w:rsid w:val="00E3338E"/>
    <w:rsid w:val="00F82FA9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FA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FA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s@transparency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Lucia Vilimovská</cp:lastModifiedBy>
  <cp:revision>4</cp:revision>
  <cp:lastPrinted>2015-01-21T11:47:00Z</cp:lastPrinted>
  <dcterms:created xsi:type="dcterms:W3CDTF">2015-04-13T14:27:00Z</dcterms:created>
  <dcterms:modified xsi:type="dcterms:W3CDTF">2015-04-15T08:47:00Z</dcterms:modified>
</cp:coreProperties>
</file>