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35" w:rsidRPr="00042FB1" w:rsidRDefault="00CF5AFB" w:rsidP="00A94435">
      <w:pPr>
        <w:rPr>
          <w:b/>
          <w:sz w:val="36"/>
          <w:szCs w:val="36"/>
          <w:vertAlign w:val="superscript"/>
        </w:rPr>
      </w:pPr>
      <w:r w:rsidRPr="00042FB1">
        <w:rPr>
          <w:b/>
          <w:sz w:val="36"/>
          <w:szCs w:val="36"/>
          <w:vertAlign w:val="superscript"/>
        </w:rPr>
        <w:t>TISKOVÁ ZPRÁVA TI</w:t>
      </w:r>
      <w:r w:rsidR="00A94435" w:rsidRPr="00042FB1">
        <w:rPr>
          <w:b/>
          <w:sz w:val="36"/>
          <w:szCs w:val="36"/>
          <w:vertAlign w:val="superscript"/>
        </w:rPr>
        <w:t xml:space="preserve"> </w:t>
      </w:r>
    </w:p>
    <w:p w:rsidR="00E0772E" w:rsidRPr="00FE195D" w:rsidRDefault="00FE195D" w:rsidP="00FE195D">
      <w:pPr>
        <w:pBdr>
          <w:bottom w:val="single" w:sz="4" w:space="3" w:color="4F81BD" w:themeColor="accent1"/>
        </w:pBdr>
        <w:spacing w:before="200" w:after="280"/>
        <w:ind w:right="26"/>
        <w:jc w:val="both"/>
        <w:rPr>
          <w:rFonts w:eastAsia="Calibri" w:cs="Times New Roman"/>
          <w:b/>
          <w:bCs/>
          <w:i/>
          <w:iCs/>
          <w:color w:val="0065B3"/>
          <w:sz w:val="28"/>
          <w:szCs w:val="28"/>
        </w:rPr>
      </w:pPr>
      <w:r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 xml:space="preserve">Rekordních </w:t>
      </w:r>
      <w:r w:rsidR="008258AF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 xml:space="preserve">47 </w:t>
      </w:r>
      <w:r w:rsidR="003A318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>místních referend v roce 2014 prokazuje zájem a angažovanost občanů</w:t>
      </w:r>
      <w:r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 xml:space="preserve">. </w:t>
      </w:r>
      <w:r w:rsidR="003A3181">
        <w:rPr>
          <w:rFonts w:eastAsia="Calibri" w:cs="Times New Roman"/>
          <w:b/>
          <w:bCs/>
          <w:i/>
          <w:iCs/>
          <w:color w:val="0065B3"/>
          <w:sz w:val="28"/>
          <w:szCs w:val="28"/>
        </w:rPr>
        <w:t>Poskytuje jim zákon o místních referendech účinnou pomoc?</w:t>
      </w:r>
    </w:p>
    <w:p w:rsidR="00680E28" w:rsidRDefault="00680E28" w:rsidP="007C2BBA">
      <w:pPr>
        <w:jc w:val="both"/>
        <w:rPr>
          <w:b/>
          <w:szCs w:val="24"/>
        </w:rPr>
      </w:pPr>
      <w:r>
        <w:rPr>
          <w:b/>
          <w:noProof/>
          <w:szCs w:val="24"/>
          <w:lang w:eastAsia="cs-CZ"/>
        </w:rPr>
        <w:drawing>
          <wp:inline distT="0" distB="0" distL="0" distR="0" wp14:anchorId="3E103B4D" wp14:editId="0FBFC0FB">
            <wp:extent cx="5760720" cy="4027108"/>
            <wp:effectExtent l="0" t="0" r="0" b="0"/>
            <wp:docPr id="3" name="Obrázek 3" descr="\\tisad01.ad.transparency.cz\Plochy$\kotora\Rok Místních Referend - header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isad01.ad.transparency.cz\Plochy$\kotora\Rok Místních Referend - h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28" w:rsidRPr="00BC12E0" w:rsidRDefault="003D414E" w:rsidP="00680E28">
      <w:pPr>
        <w:jc w:val="both"/>
        <w:rPr>
          <w:color w:val="808080" w:themeColor="background1" w:themeShade="80"/>
          <w:sz w:val="28"/>
          <w:szCs w:val="28"/>
          <w:vertAlign w:val="superscript"/>
        </w:rPr>
      </w:pPr>
      <w:hyperlink r:id="rId10" w:history="1">
        <w:r w:rsidR="0097427B">
          <w:rPr>
            <w:rStyle w:val="Hypertextovodkaz"/>
            <w:color w:val="808080" w:themeColor="background1" w:themeShade="80"/>
            <w:sz w:val="28"/>
            <w:szCs w:val="28"/>
            <w:vertAlign w:val="superscript"/>
          </w:rPr>
          <w:t>Rok Místních R</w:t>
        </w:r>
        <w:bookmarkStart w:id="0" w:name="_GoBack"/>
        <w:bookmarkEnd w:id="0"/>
        <w:r w:rsidR="00680E28" w:rsidRPr="00BC12E0">
          <w:rPr>
            <w:rStyle w:val="Hypertextovodkaz"/>
            <w:color w:val="808080" w:themeColor="background1" w:themeShade="80"/>
            <w:sz w:val="28"/>
            <w:szCs w:val="28"/>
            <w:vertAlign w:val="superscript"/>
          </w:rPr>
          <w:t>eferend</w:t>
        </w:r>
      </w:hyperlink>
      <w:r w:rsidR="00680E28" w:rsidRPr="00BC12E0">
        <w:rPr>
          <w:color w:val="808080" w:themeColor="background1" w:themeShade="80"/>
          <w:sz w:val="28"/>
          <w:szCs w:val="28"/>
          <w:vertAlign w:val="superscript"/>
        </w:rPr>
        <w:t xml:space="preserve"> | zdroj: TI</w:t>
      </w:r>
    </w:p>
    <w:p w:rsidR="00FE195D" w:rsidRPr="00540272" w:rsidRDefault="00A94435" w:rsidP="007C2BBA">
      <w:pPr>
        <w:jc w:val="both"/>
        <w:rPr>
          <w:b/>
          <w:szCs w:val="24"/>
        </w:rPr>
      </w:pPr>
      <w:r w:rsidRPr="007159DC">
        <w:rPr>
          <w:b/>
          <w:szCs w:val="24"/>
        </w:rPr>
        <w:t xml:space="preserve">Praha </w:t>
      </w:r>
      <w:r w:rsidR="008258AF" w:rsidRPr="007159DC">
        <w:rPr>
          <w:b/>
          <w:szCs w:val="24"/>
        </w:rPr>
        <w:t>10</w:t>
      </w:r>
      <w:r w:rsidR="00FE195D" w:rsidRPr="007159DC">
        <w:rPr>
          <w:b/>
          <w:szCs w:val="24"/>
        </w:rPr>
        <w:t>.</w:t>
      </w:r>
      <w:r w:rsidR="008258AF" w:rsidRPr="007159DC">
        <w:rPr>
          <w:b/>
          <w:szCs w:val="24"/>
        </w:rPr>
        <w:t xml:space="preserve"> února </w:t>
      </w:r>
      <w:r w:rsidR="00FD451C" w:rsidRPr="007159DC">
        <w:rPr>
          <w:b/>
          <w:szCs w:val="24"/>
        </w:rPr>
        <w:t>2016</w:t>
      </w:r>
      <w:r w:rsidRPr="007159DC">
        <w:rPr>
          <w:b/>
          <w:szCs w:val="24"/>
        </w:rPr>
        <w:t xml:space="preserve"> –</w:t>
      </w:r>
      <w:r w:rsidR="00FE195D" w:rsidRPr="007159DC">
        <w:rPr>
          <w:b/>
          <w:szCs w:val="24"/>
        </w:rPr>
        <w:t xml:space="preserve"> </w:t>
      </w:r>
      <w:r w:rsidR="00183C9E" w:rsidRPr="007159DC">
        <w:rPr>
          <w:b/>
          <w:szCs w:val="24"/>
        </w:rPr>
        <w:t xml:space="preserve">Transparency International </w:t>
      </w:r>
      <w:r w:rsidR="008258AF" w:rsidRPr="007159DC">
        <w:rPr>
          <w:b/>
          <w:szCs w:val="24"/>
        </w:rPr>
        <w:t xml:space="preserve">podrobně analyzovala všech 47 místních </w:t>
      </w:r>
      <w:r w:rsidR="00104C9E" w:rsidRPr="007159DC">
        <w:rPr>
          <w:b/>
          <w:szCs w:val="24"/>
        </w:rPr>
        <w:t>referend, která proběhla v roce 2014. Jejich počet dokazuje, že občané chtějí a</w:t>
      </w:r>
      <w:r w:rsidR="00A43CFC" w:rsidRPr="007159DC">
        <w:rPr>
          <w:b/>
          <w:szCs w:val="24"/>
        </w:rPr>
        <w:t xml:space="preserve">ktivně ovlivňovat vývoj </w:t>
      </w:r>
      <w:r w:rsidR="00104C9E" w:rsidRPr="007159DC">
        <w:rPr>
          <w:b/>
          <w:szCs w:val="24"/>
        </w:rPr>
        <w:t xml:space="preserve">ve své obci. To, že účast na referendech byla v průměru jen 42,2% a že platných je jen 24 referend neodráží jen případný nezájem občanů, ale často i obstrukce ze strany obcí. </w:t>
      </w:r>
    </w:p>
    <w:p w:rsidR="008258AF" w:rsidRPr="008258AF" w:rsidRDefault="00104C9E" w:rsidP="007C2BB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Rok m</w:t>
      </w:r>
      <w:r w:rsidRPr="008258AF">
        <w:rPr>
          <w:b/>
          <w:sz w:val="24"/>
          <w:szCs w:val="24"/>
          <w:u w:val="single"/>
        </w:rPr>
        <w:t>ístní</w:t>
      </w:r>
      <w:r>
        <w:rPr>
          <w:b/>
          <w:sz w:val="24"/>
          <w:szCs w:val="24"/>
          <w:u w:val="single"/>
        </w:rPr>
        <w:t>ch</w:t>
      </w:r>
      <w:r w:rsidR="008258AF" w:rsidRPr="008258AF">
        <w:rPr>
          <w:b/>
          <w:sz w:val="24"/>
          <w:szCs w:val="24"/>
          <w:u w:val="single"/>
        </w:rPr>
        <w:t xml:space="preserve"> </w:t>
      </w:r>
      <w:r w:rsidR="00A95028" w:rsidRPr="008258AF">
        <w:rPr>
          <w:b/>
          <w:sz w:val="24"/>
          <w:szCs w:val="24"/>
          <w:u w:val="single"/>
        </w:rPr>
        <w:t>referend</w:t>
      </w:r>
      <w:r w:rsidR="00A95028">
        <w:rPr>
          <w:b/>
          <w:sz w:val="24"/>
          <w:szCs w:val="24"/>
          <w:u w:val="single"/>
        </w:rPr>
        <w:t xml:space="preserve"> </w:t>
      </w:r>
      <w:r w:rsidR="00A95028" w:rsidRPr="008258AF">
        <w:rPr>
          <w:b/>
          <w:sz w:val="24"/>
          <w:szCs w:val="24"/>
          <w:u w:val="single"/>
        </w:rPr>
        <w:t>2014</w:t>
      </w:r>
    </w:p>
    <w:p w:rsidR="003C6260" w:rsidRDefault="008258AF" w:rsidP="007C2BBA">
      <w:pPr>
        <w:jc w:val="both"/>
        <w:rPr>
          <w:szCs w:val="24"/>
        </w:rPr>
      </w:pPr>
      <w:r w:rsidRPr="007159DC">
        <w:rPr>
          <w:szCs w:val="24"/>
        </w:rPr>
        <w:t>Celkem se</w:t>
      </w:r>
      <w:r w:rsidR="00FE195D" w:rsidRPr="007159DC">
        <w:rPr>
          <w:szCs w:val="24"/>
        </w:rPr>
        <w:t xml:space="preserve"> za rok 2014</w:t>
      </w:r>
      <w:r w:rsidRPr="007159DC">
        <w:rPr>
          <w:szCs w:val="24"/>
        </w:rPr>
        <w:t xml:space="preserve"> konalo 47 místních referend</w:t>
      </w:r>
      <w:r w:rsidR="0080702F" w:rsidRPr="007159DC">
        <w:rPr>
          <w:szCs w:val="24"/>
        </w:rPr>
        <w:t xml:space="preserve">, </w:t>
      </w:r>
      <w:r w:rsidR="00FE195D" w:rsidRPr="007159DC">
        <w:rPr>
          <w:szCs w:val="24"/>
        </w:rPr>
        <w:t xml:space="preserve">což je </w:t>
      </w:r>
      <w:r w:rsidR="0080702F" w:rsidRPr="007159DC">
        <w:rPr>
          <w:szCs w:val="24"/>
        </w:rPr>
        <w:t>od roku 2006</w:t>
      </w:r>
      <w:r w:rsidR="002912A2">
        <w:rPr>
          <w:szCs w:val="24"/>
        </w:rPr>
        <w:t xml:space="preserve"> nejvíce</w:t>
      </w:r>
      <w:r w:rsidR="00AE3E0D">
        <w:rPr>
          <w:szCs w:val="24"/>
        </w:rPr>
        <w:t xml:space="preserve">. </w:t>
      </w:r>
      <w:r w:rsidR="002912A2">
        <w:rPr>
          <w:szCs w:val="24"/>
        </w:rPr>
        <w:t>Nejčastěji lidé hlasovali o</w:t>
      </w:r>
      <w:r w:rsidR="00A95028" w:rsidRPr="007159DC">
        <w:rPr>
          <w:szCs w:val="24"/>
        </w:rPr>
        <w:t xml:space="preserve"> nakládání s obecním majetkem (28 </w:t>
      </w:r>
      <w:r w:rsidR="002912A2">
        <w:rPr>
          <w:szCs w:val="24"/>
        </w:rPr>
        <w:t xml:space="preserve">referendových </w:t>
      </w:r>
      <w:r w:rsidR="00FE195D" w:rsidRPr="007159DC">
        <w:rPr>
          <w:szCs w:val="24"/>
        </w:rPr>
        <w:t>otázek</w:t>
      </w:r>
      <w:r w:rsidR="002912A2">
        <w:rPr>
          <w:szCs w:val="24"/>
        </w:rPr>
        <w:t xml:space="preserve"> z 68</w:t>
      </w:r>
      <w:r w:rsidR="0058091A">
        <w:rPr>
          <w:szCs w:val="24"/>
        </w:rPr>
        <w:t xml:space="preserve">) a o místních záležitostech </w:t>
      </w:r>
      <w:r w:rsidR="00A95028" w:rsidRPr="007159DC">
        <w:rPr>
          <w:szCs w:val="24"/>
        </w:rPr>
        <w:t xml:space="preserve">veřejného pořádku (18 </w:t>
      </w:r>
      <w:r w:rsidR="0058091A">
        <w:rPr>
          <w:szCs w:val="24"/>
        </w:rPr>
        <w:t>otázek), kam spadala i</w:t>
      </w:r>
      <w:r w:rsidR="00A95028" w:rsidRPr="007159DC">
        <w:rPr>
          <w:szCs w:val="24"/>
        </w:rPr>
        <w:t xml:space="preserve"> </w:t>
      </w:r>
      <w:r w:rsidR="008E6E5E">
        <w:rPr>
          <w:szCs w:val="24"/>
        </w:rPr>
        <w:t xml:space="preserve">v minulém roce často diskutovaná </w:t>
      </w:r>
      <w:r w:rsidR="00FE195D" w:rsidRPr="007159DC">
        <w:rPr>
          <w:szCs w:val="24"/>
        </w:rPr>
        <w:t>problematika</w:t>
      </w:r>
      <w:r w:rsidR="00A95028" w:rsidRPr="007159DC">
        <w:rPr>
          <w:szCs w:val="24"/>
        </w:rPr>
        <w:t xml:space="preserve"> omezení hazardu.</w:t>
      </w:r>
    </w:p>
    <w:p w:rsidR="00E82839" w:rsidRPr="00C31B0A" w:rsidRDefault="003A5626" w:rsidP="007C2BBA">
      <w:pPr>
        <w:jc w:val="both"/>
        <w:rPr>
          <w:szCs w:val="24"/>
        </w:rPr>
      </w:pPr>
      <w:r w:rsidRPr="00313AA5">
        <w:rPr>
          <w:i/>
        </w:rPr>
        <w:t>„</w:t>
      </w:r>
      <w:r>
        <w:rPr>
          <w:i/>
        </w:rPr>
        <w:t>R</w:t>
      </w:r>
      <w:r w:rsidRPr="00313AA5">
        <w:rPr>
          <w:i/>
        </w:rPr>
        <w:t xml:space="preserve">ok 2014 </w:t>
      </w:r>
      <w:r w:rsidR="003C6260">
        <w:rPr>
          <w:i/>
        </w:rPr>
        <w:t>byl</w:t>
      </w:r>
      <w:r w:rsidRPr="00313AA5">
        <w:rPr>
          <w:i/>
        </w:rPr>
        <w:t xml:space="preserve"> </w:t>
      </w:r>
      <w:r w:rsidR="003C6260">
        <w:rPr>
          <w:i/>
        </w:rPr>
        <w:t>s</w:t>
      </w:r>
      <w:r>
        <w:rPr>
          <w:i/>
        </w:rPr>
        <w:t xml:space="preserve"> počtem 47 referend </w:t>
      </w:r>
      <w:r w:rsidRPr="00313AA5">
        <w:rPr>
          <w:i/>
        </w:rPr>
        <w:t xml:space="preserve">rekordní, </w:t>
      </w:r>
      <w:r>
        <w:rPr>
          <w:i/>
        </w:rPr>
        <w:t xml:space="preserve">zároveň </w:t>
      </w:r>
      <w:r w:rsidR="003C6260">
        <w:rPr>
          <w:i/>
        </w:rPr>
        <w:t>byl</w:t>
      </w:r>
      <w:r>
        <w:rPr>
          <w:i/>
        </w:rPr>
        <w:t xml:space="preserve"> ale</w:t>
      </w:r>
      <w:r w:rsidRPr="00313AA5">
        <w:rPr>
          <w:i/>
        </w:rPr>
        <w:t xml:space="preserve"> rekordní co do poměru neúspěšných</w:t>
      </w:r>
      <w:r>
        <w:rPr>
          <w:i/>
        </w:rPr>
        <w:t xml:space="preserve"> referend</w:t>
      </w:r>
      <w:r w:rsidRPr="00313AA5">
        <w:rPr>
          <w:i/>
        </w:rPr>
        <w:t>,</w:t>
      </w:r>
      <w:r>
        <w:rPr>
          <w:i/>
          <w:szCs w:val="24"/>
        </w:rPr>
        <w:t xml:space="preserve"> neplatností jich skončila téměř</w:t>
      </w:r>
      <w:r w:rsidR="003C6260">
        <w:rPr>
          <w:i/>
          <w:szCs w:val="24"/>
        </w:rPr>
        <w:t xml:space="preserve"> polovina,</w:t>
      </w:r>
      <w:r>
        <w:rPr>
          <w:i/>
          <w:szCs w:val="24"/>
        </w:rPr>
        <w:t>“</w:t>
      </w:r>
      <w:r w:rsidR="003C6260">
        <w:rPr>
          <w:i/>
          <w:szCs w:val="24"/>
        </w:rPr>
        <w:t xml:space="preserve"> </w:t>
      </w:r>
      <w:r w:rsidR="003C6260" w:rsidRPr="003C6260">
        <w:rPr>
          <w:szCs w:val="24"/>
        </w:rPr>
        <w:t>říká Tereza Zběžková, vedoucí projektu</w:t>
      </w:r>
      <w:r w:rsidR="003C6260">
        <w:rPr>
          <w:szCs w:val="24"/>
        </w:rPr>
        <w:t xml:space="preserve"> Rok </w:t>
      </w:r>
      <w:r w:rsidR="003C6260">
        <w:rPr>
          <w:szCs w:val="24"/>
        </w:rPr>
        <w:lastRenderedPageBreak/>
        <w:t>místních referend</w:t>
      </w:r>
      <w:r w:rsidR="00C31B0A">
        <w:rPr>
          <w:szCs w:val="24"/>
        </w:rPr>
        <w:t>, v rámci kterého analýza probíhala</w:t>
      </w:r>
      <w:r w:rsidR="003C6260">
        <w:rPr>
          <w:i/>
          <w:szCs w:val="24"/>
        </w:rPr>
        <w:t>.</w:t>
      </w:r>
      <w:r w:rsidRPr="00AE3E0D">
        <w:rPr>
          <w:i/>
          <w:szCs w:val="24"/>
        </w:rPr>
        <w:t xml:space="preserve"> </w:t>
      </w:r>
      <w:r w:rsidR="00AA53B4">
        <w:rPr>
          <w:szCs w:val="24"/>
        </w:rPr>
        <w:t>Průměrná účast</w:t>
      </w:r>
      <w:r w:rsidR="0080702F" w:rsidRPr="007159DC">
        <w:rPr>
          <w:szCs w:val="24"/>
        </w:rPr>
        <w:t xml:space="preserve"> </w:t>
      </w:r>
      <w:r w:rsidR="00AA53B4">
        <w:rPr>
          <w:szCs w:val="24"/>
        </w:rPr>
        <w:t>v</w:t>
      </w:r>
      <w:r>
        <w:rPr>
          <w:szCs w:val="24"/>
        </w:rPr>
        <w:t> </w:t>
      </w:r>
      <w:r w:rsidR="00AA53B4">
        <w:rPr>
          <w:szCs w:val="24"/>
        </w:rPr>
        <w:t>referendech</w:t>
      </w:r>
      <w:r>
        <w:rPr>
          <w:szCs w:val="24"/>
        </w:rPr>
        <w:t xml:space="preserve"> </w:t>
      </w:r>
      <w:r w:rsidR="008E6E5E">
        <w:rPr>
          <w:szCs w:val="24"/>
        </w:rPr>
        <w:t xml:space="preserve">od roku 2010 stále klesá a v roce 2014 se dostala na </w:t>
      </w:r>
      <w:r w:rsidR="00AA53B4">
        <w:rPr>
          <w:szCs w:val="24"/>
        </w:rPr>
        <w:t>42,2%.</w:t>
      </w:r>
      <w:r w:rsidR="003C6260">
        <w:rPr>
          <w:szCs w:val="24"/>
        </w:rPr>
        <w:t xml:space="preserve"> </w:t>
      </w:r>
      <w:r w:rsidR="00C31B0A">
        <w:rPr>
          <w:szCs w:val="24"/>
        </w:rPr>
        <w:t xml:space="preserve">Na základě iniciativy občanů, tedy </w:t>
      </w:r>
      <w:r w:rsidR="00C31B0A" w:rsidRPr="007159DC">
        <w:rPr>
          <w:szCs w:val="24"/>
        </w:rPr>
        <w:t>na návrh přípravného výboru</w:t>
      </w:r>
      <w:r w:rsidR="00C31B0A">
        <w:rPr>
          <w:szCs w:val="24"/>
        </w:rPr>
        <w:t xml:space="preserve">, bylo však vyhlášeno 21 referend ze 47, což </w:t>
      </w:r>
      <w:r w:rsidR="00256011">
        <w:rPr>
          <w:szCs w:val="24"/>
        </w:rPr>
        <w:t>na ne</w:t>
      </w:r>
      <w:r w:rsidR="00C31B0A">
        <w:rPr>
          <w:szCs w:val="24"/>
        </w:rPr>
        <w:t xml:space="preserve">zájem občanů o správu věcí veřejných </w:t>
      </w:r>
      <w:r w:rsidR="00256011">
        <w:rPr>
          <w:szCs w:val="24"/>
        </w:rPr>
        <w:t>neukazuje.</w:t>
      </w:r>
    </w:p>
    <w:p w:rsidR="00183C9E" w:rsidRPr="0080702F" w:rsidRDefault="008258AF" w:rsidP="00D9655D">
      <w:pPr>
        <w:jc w:val="both"/>
        <w:rPr>
          <w:b/>
          <w:sz w:val="24"/>
          <w:szCs w:val="24"/>
          <w:u w:val="single"/>
        </w:rPr>
      </w:pPr>
      <w:r w:rsidRPr="0080702F">
        <w:rPr>
          <w:b/>
          <w:sz w:val="24"/>
          <w:szCs w:val="24"/>
          <w:u w:val="single"/>
        </w:rPr>
        <w:t>S čím se organizátoři místních referend nejvíce museli potýkat</w:t>
      </w:r>
    </w:p>
    <w:p w:rsidR="002F7122" w:rsidRPr="00AC5B2A" w:rsidRDefault="00723BDE" w:rsidP="00D9655D">
      <w:pPr>
        <w:jc w:val="both"/>
        <w:rPr>
          <w:szCs w:val="24"/>
        </w:rPr>
      </w:pPr>
      <w:r w:rsidRPr="00AC5B2A">
        <w:rPr>
          <w:i/>
          <w:szCs w:val="24"/>
        </w:rPr>
        <w:t>„Člověk by předpokládal, že obce bude názor veřejnosti vyjádřený v referendu zajímat. V řadě případů se ale o názor většiny občanů nejen nezajímají, ale aktivně jeho vyjádření brání</w:t>
      </w:r>
      <w:r w:rsidR="003C6260">
        <w:rPr>
          <w:i/>
          <w:szCs w:val="24"/>
        </w:rPr>
        <w:t>,“</w:t>
      </w:r>
      <w:r w:rsidRPr="00AC5B2A">
        <w:rPr>
          <w:i/>
          <w:szCs w:val="24"/>
        </w:rPr>
        <w:t xml:space="preserve"> </w:t>
      </w:r>
      <w:r w:rsidR="003E1004">
        <w:rPr>
          <w:szCs w:val="24"/>
        </w:rPr>
        <w:t>upozorňuje</w:t>
      </w:r>
      <w:r w:rsidRPr="00AC5B2A">
        <w:rPr>
          <w:szCs w:val="24"/>
        </w:rPr>
        <w:t xml:space="preserve"> programový ředitel </w:t>
      </w:r>
      <w:proofErr w:type="gramStart"/>
      <w:r w:rsidRPr="00AC5B2A">
        <w:rPr>
          <w:szCs w:val="24"/>
        </w:rPr>
        <w:t>TI</w:t>
      </w:r>
      <w:proofErr w:type="gramEnd"/>
      <w:r w:rsidRPr="00AC5B2A">
        <w:rPr>
          <w:szCs w:val="24"/>
        </w:rPr>
        <w:t xml:space="preserve"> Radim Bureš</w:t>
      </w:r>
      <w:r w:rsidR="003E1004">
        <w:rPr>
          <w:szCs w:val="24"/>
        </w:rPr>
        <w:t>.</w:t>
      </w:r>
    </w:p>
    <w:p w:rsidR="00104C9E" w:rsidRPr="00AC5B2A" w:rsidRDefault="00104C9E" w:rsidP="00D9655D">
      <w:pPr>
        <w:jc w:val="both"/>
        <w:rPr>
          <w:szCs w:val="24"/>
        </w:rPr>
      </w:pPr>
      <w:r w:rsidRPr="00AC5B2A">
        <w:rPr>
          <w:szCs w:val="24"/>
        </w:rPr>
        <w:t>V praxi se objevily zejména následu</w:t>
      </w:r>
      <w:r w:rsidR="006E7130" w:rsidRPr="00AC5B2A">
        <w:rPr>
          <w:szCs w:val="24"/>
        </w:rPr>
        <w:t>jící metody</w:t>
      </w:r>
      <w:r w:rsidR="006F3D33">
        <w:rPr>
          <w:szCs w:val="24"/>
        </w:rPr>
        <w:t>,</w:t>
      </w:r>
      <w:r w:rsidR="006E7130" w:rsidRPr="00AC5B2A">
        <w:rPr>
          <w:szCs w:val="24"/>
        </w:rPr>
        <w:t xml:space="preserve"> snažící se </w:t>
      </w:r>
      <w:r w:rsidR="00723BDE" w:rsidRPr="00AC5B2A">
        <w:rPr>
          <w:szCs w:val="24"/>
        </w:rPr>
        <w:t xml:space="preserve">konání místního referenda </w:t>
      </w:r>
      <w:r w:rsidR="006E7130" w:rsidRPr="00AC5B2A">
        <w:rPr>
          <w:szCs w:val="24"/>
        </w:rPr>
        <w:t>překazit, např.</w:t>
      </w:r>
      <w:r w:rsidR="00723BDE" w:rsidRPr="00AC5B2A">
        <w:rPr>
          <w:szCs w:val="24"/>
        </w:rPr>
        <w:t>:</w:t>
      </w:r>
    </w:p>
    <w:p w:rsidR="00104C9E" w:rsidRPr="00AC5B2A" w:rsidRDefault="00104C9E" w:rsidP="006E7130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AC5B2A">
        <w:rPr>
          <w:szCs w:val="24"/>
        </w:rPr>
        <w:t xml:space="preserve">Ukradená referenda: obec vypíše referendum se stejnou nebo podobnou otázkou, ale v jiném termínu, než chtěl přípravný výbor. Ten potom </w:t>
      </w:r>
      <w:r w:rsidR="00A95028" w:rsidRPr="00AC5B2A">
        <w:rPr>
          <w:szCs w:val="24"/>
        </w:rPr>
        <w:t xml:space="preserve">nemá např. čas na informační </w:t>
      </w:r>
      <w:r w:rsidR="00AB331E" w:rsidRPr="00AC5B2A">
        <w:rPr>
          <w:szCs w:val="24"/>
        </w:rPr>
        <w:t>kampaň,</w:t>
      </w:r>
      <w:r w:rsidR="00353819">
        <w:rPr>
          <w:szCs w:val="24"/>
        </w:rPr>
        <w:t xml:space="preserve"> případně jinak formulované otázky mohou být</w:t>
      </w:r>
      <w:r w:rsidR="007B4D4F">
        <w:rPr>
          <w:szCs w:val="24"/>
        </w:rPr>
        <w:t xml:space="preserve"> pro hlasující občany matoucí;</w:t>
      </w:r>
    </w:p>
    <w:p w:rsidR="00104C9E" w:rsidRPr="00AC5B2A" w:rsidRDefault="00104C9E" w:rsidP="006E7130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AC5B2A">
        <w:rPr>
          <w:szCs w:val="24"/>
        </w:rPr>
        <w:t xml:space="preserve">Důkladnost při kontrole </w:t>
      </w:r>
      <w:r w:rsidR="007B4D4F">
        <w:rPr>
          <w:szCs w:val="24"/>
        </w:rPr>
        <w:t xml:space="preserve">podpisů podporujících vypsání referenda </w:t>
      </w:r>
      <w:r w:rsidRPr="00AC5B2A">
        <w:rPr>
          <w:szCs w:val="24"/>
        </w:rPr>
        <w:t>přechází v šikanu:</w:t>
      </w:r>
      <w:r w:rsidR="006E7130" w:rsidRPr="00AC5B2A">
        <w:rPr>
          <w:szCs w:val="24"/>
        </w:rPr>
        <w:t xml:space="preserve"> obecní úřad vyškrtává podpisy, které vykazují byť minimální formální vadu (např. členové rodiny neopisují svoji adresu, ale jen napíší „dtto“), popřípadě jsou pokutování ti, kteří se omylem podepsali dvakrát</w:t>
      </w:r>
      <w:r w:rsidR="00A95028" w:rsidRPr="00AC5B2A">
        <w:rPr>
          <w:szCs w:val="24"/>
        </w:rPr>
        <w:t>;</w:t>
      </w:r>
    </w:p>
    <w:p w:rsidR="006E7130" w:rsidRPr="00AC5B2A" w:rsidRDefault="00A95028" w:rsidP="006E7130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AC5B2A">
        <w:rPr>
          <w:szCs w:val="24"/>
        </w:rPr>
        <w:t>Informační blokáda: referendum je vyhlášeno, ale obec nespolupracuje v informování o místě a čase konání referenda;</w:t>
      </w:r>
      <w:r w:rsidR="00AB331E" w:rsidRPr="00AC5B2A">
        <w:rPr>
          <w:szCs w:val="24"/>
        </w:rPr>
        <w:t xml:space="preserve"> informace o referendu </w:t>
      </w:r>
      <w:r w:rsidR="00E878F8">
        <w:rPr>
          <w:szCs w:val="24"/>
        </w:rPr>
        <w:t xml:space="preserve">nezveřejní ani radniční </w:t>
      </w:r>
      <w:r w:rsidR="00AB331E" w:rsidRPr="00AC5B2A">
        <w:rPr>
          <w:szCs w:val="24"/>
        </w:rPr>
        <w:t>periodik</w:t>
      </w:r>
      <w:r w:rsidR="00E878F8">
        <w:rPr>
          <w:szCs w:val="24"/>
        </w:rPr>
        <w:t>a</w:t>
      </w:r>
      <w:r w:rsidR="00AB331E" w:rsidRPr="00AC5B2A">
        <w:rPr>
          <w:szCs w:val="24"/>
        </w:rPr>
        <w:t>, volební mís</w:t>
      </w:r>
      <w:r w:rsidR="00E878F8">
        <w:rPr>
          <w:szCs w:val="24"/>
        </w:rPr>
        <w:t>tnosti se obtížně hledají apod.</w:t>
      </w:r>
    </w:p>
    <w:p w:rsidR="00A95028" w:rsidRPr="00AC5B2A" w:rsidRDefault="00A95028" w:rsidP="006E7130">
      <w:pPr>
        <w:pStyle w:val="Odstavecseseznamem"/>
        <w:numPr>
          <w:ilvl w:val="0"/>
          <w:numId w:val="4"/>
        </w:numPr>
        <w:jc w:val="both"/>
        <w:rPr>
          <w:szCs w:val="24"/>
        </w:rPr>
      </w:pPr>
      <w:r w:rsidRPr="00AC5B2A">
        <w:rPr>
          <w:szCs w:val="24"/>
        </w:rPr>
        <w:t xml:space="preserve">Nečinnost: referendum je platné a závazné a vyzývá obec k nějaké aktivní činnosti, ale obec nekoná. </w:t>
      </w:r>
    </w:p>
    <w:p w:rsidR="002406B1" w:rsidRPr="0080702F" w:rsidRDefault="008258AF" w:rsidP="00CF5AFB">
      <w:pPr>
        <w:jc w:val="both"/>
        <w:rPr>
          <w:b/>
          <w:sz w:val="24"/>
          <w:szCs w:val="24"/>
          <w:u w:val="single"/>
        </w:rPr>
      </w:pPr>
      <w:r w:rsidRPr="0080702F">
        <w:rPr>
          <w:b/>
          <w:sz w:val="24"/>
          <w:szCs w:val="24"/>
          <w:u w:val="single"/>
        </w:rPr>
        <w:t xml:space="preserve">Doporučení Transparency </w:t>
      </w:r>
      <w:r w:rsidR="00F24876" w:rsidRPr="0080702F">
        <w:rPr>
          <w:b/>
          <w:sz w:val="24"/>
          <w:szCs w:val="24"/>
          <w:u w:val="single"/>
        </w:rPr>
        <w:t>International</w:t>
      </w:r>
      <w:r w:rsidRPr="0080702F">
        <w:rPr>
          <w:b/>
          <w:sz w:val="24"/>
          <w:szCs w:val="24"/>
          <w:u w:val="single"/>
        </w:rPr>
        <w:t xml:space="preserve"> k</w:t>
      </w:r>
      <w:r w:rsidR="00104C9E">
        <w:rPr>
          <w:b/>
          <w:sz w:val="24"/>
          <w:szCs w:val="24"/>
          <w:u w:val="single"/>
        </w:rPr>
        <w:t xml:space="preserve"> lepšímu </w:t>
      </w:r>
      <w:r w:rsidR="00A95028">
        <w:rPr>
          <w:b/>
          <w:sz w:val="24"/>
          <w:szCs w:val="24"/>
          <w:u w:val="single"/>
        </w:rPr>
        <w:t>využití místních</w:t>
      </w:r>
      <w:r w:rsidR="006E7130">
        <w:rPr>
          <w:b/>
          <w:sz w:val="24"/>
          <w:szCs w:val="24"/>
          <w:u w:val="single"/>
        </w:rPr>
        <w:t xml:space="preserve"> referend</w:t>
      </w:r>
    </w:p>
    <w:p w:rsidR="003B3C4A" w:rsidRDefault="00104C9E" w:rsidP="00CF5AFB">
      <w:pPr>
        <w:jc w:val="both"/>
      </w:pPr>
      <w:r>
        <w:t xml:space="preserve">Transparency International doporučuje legislativní i </w:t>
      </w:r>
      <w:r w:rsidR="00E82839">
        <w:t>nelegislativní opatření</w:t>
      </w:r>
      <w:r w:rsidR="006E7130">
        <w:t xml:space="preserve">, která by mohla posílit </w:t>
      </w:r>
      <w:r w:rsidR="00A95028">
        <w:t>tento prvek demokratického života na místní úrovni:</w:t>
      </w:r>
    </w:p>
    <w:p w:rsidR="00A95028" w:rsidRDefault="006E7130" w:rsidP="00CF5AFB">
      <w:pPr>
        <w:jc w:val="both"/>
      </w:pPr>
      <w:r>
        <w:t>1. Řada překážek, kladených do cesty pořadatelům místních referend</w:t>
      </w:r>
      <w:r w:rsidR="002D71A0">
        <w:t>,</w:t>
      </w:r>
      <w:r>
        <w:t xml:space="preserve"> nemusí odrážet zlou vůli, ale může pramenit i z neznalosti. </w:t>
      </w:r>
      <w:proofErr w:type="gramStart"/>
      <w:r w:rsidR="00BC754F">
        <w:t xml:space="preserve">TI </w:t>
      </w:r>
      <w:r w:rsidR="00A95028">
        <w:t>vyzývá</w:t>
      </w:r>
      <w:proofErr w:type="gramEnd"/>
      <w:r w:rsidR="00A95028">
        <w:t xml:space="preserve"> Ministerstvo vnitra, aby plně využilo svých možností k informování obcí o náležitostech řádné administrace místních referend.</w:t>
      </w:r>
      <w:r w:rsidR="00071A95">
        <w:t xml:space="preserve"> </w:t>
      </w:r>
      <w:r w:rsidR="00A95028">
        <w:t>TI se zároveň obrací na Svaz měst a obcí ČR, Sdružení místních samospráv ČR a Asociaci krajů se žádostí o spolupráci při informování obcí o m</w:t>
      </w:r>
      <w:r w:rsidR="00BC754F">
        <w:t xml:space="preserve">ožnostech efektivní organizace </w:t>
      </w:r>
      <w:r w:rsidR="00A95028">
        <w:t>místních referend.</w:t>
      </w:r>
    </w:p>
    <w:p w:rsidR="00680E28" w:rsidRPr="00042FB1" w:rsidRDefault="00680E28" w:rsidP="00680E28">
      <w:pPr>
        <w:jc w:val="both"/>
        <w:rPr>
          <w:b/>
        </w:rPr>
      </w:pPr>
      <w:r>
        <w:t xml:space="preserve">2. TI přispěla k propagaci efektivního využívání místních referend především přípravou </w:t>
      </w:r>
      <w:hyperlink r:id="rId11" w:history="1">
        <w:r w:rsidRPr="00BC12E0">
          <w:rPr>
            <w:rStyle w:val="Hypertextovodkaz"/>
            <w:color w:val="0070C0"/>
          </w:rPr>
          <w:t>Kuchařky místního referenda – Manuálu pro aktivní občany</w:t>
        </w:r>
      </w:hyperlink>
      <w:r>
        <w:t xml:space="preserve"> a zpracováním </w:t>
      </w:r>
      <w:hyperlink r:id="rId12" w:history="1">
        <w:r w:rsidRPr="00BC12E0">
          <w:rPr>
            <w:rStyle w:val="Hypertextovodkaz"/>
            <w:color w:val="0070C0"/>
          </w:rPr>
          <w:t>Analýzy místních referend 2014</w:t>
        </w:r>
      </w:hyperlink>
      <w:r>
        <w:t>.</w:t>
      </w:r>
    </w:p>
    <w:p w:rsidR="00A95028" w:rsidRDefault="003A3181" w:rsidP="00CF5AFB">
      <w:pPr>
        <w:jc w:val="both"/>
      </w:pPr>
      <w:r>
        <w:t>3</w:t>
      </w:r>
      <w:r w:rsidR="00A95028">
        <w:t xml:space="preserve">. TI předložila </w:t>
      </w:r>
      <w:r w:rsidR="00AB331E">
        <w:t>Ministerstvu vnitra k posouzení několik legislativních návrhů</w:t>
      </w:r>
      <w:r w:rsidR="00A3429A">
        <w:t xml:space="preserve">. Jednání </w:t>
      </w:r>
      <w:proofErr w:type="gramStart"/>
      <w:r w:rsidR="00A3429A">
        <w:t>se</w:t>
      </w:r>
      <w:proofErr w:type="gramEnd"/>
      <w:r w:rsidR="00A3429A">
        <w:t xml:space="preserve"> o respektování otázek a termínu referend</w:t>
      </w:r>
      <w:r w:rsidR="00BC754F">
        <w:t>a navržených přípravným výborem a</w:t>
      </w:r>
      <w:r w:rsidR="00A3429A">
        <w:t xml:space="preserve"> opatření proti nečinnosti obce v případě závazného referenda. Zásadním je pak návrh sní</w:t>
      </w:r>
      <w:r w:rsidR="00BC754F">
        <w:t>žit požadavek na účast 35% osob v referendu, nutný pro jeho platnost.</w:t>
      </w:r>
    </w:p>
    <w:p w:rsidR="006E7130" w:rsidRDefault="006E7130" w:rsidP="00CF5AFB">
      <w:pPr>
        <w:jc w:val="both"/>
      </w:pPr>
    </w:p>
    <w:p w:rsidR="00680E28" w:rsidRPr="00042FB1" w:rsidRDefault="00680E28" w:rsidP="00680E28">
      <w:pPr>
        <w:rPr>
          <w:b/>
          <w:u w:val="single"/>
        </w:rPr>
      </w:pPr>
      <w:r>
        <w:rPr>
          <w:b/>
          <w:u w:val="single"/>
        </w:rPr>
        <w:lastRenderedPageBreak/>
        <w:t>Ke stažení:</w:t>
      </w:r>
    </w:p>
    <w:p w:rsidR="00680E28" w:rsidRDefault="003D414E" w:rsidP="00680E28">
      <w:pPr>
        <w:rPr>
          <w:rStyle w:val="Hypertextovodkaz"/>
          <w:color w:val="0070C0"/>
        </w:rPr>
      </w:pPr>
      <w:hyperlink r:id="rId13" w:history="1">
        <w:r w:rsidR="0097427B">
          <w:rPr>
            <w:rStyle w:val="Hypertextovodkaz"/>
            <w:color w:val="0070C0"/>
          </w:rPr>
          <w:t xml:space="preserve">Statistiky </w:t>
        </w:r>
        <w:r w:rsidR="00680E28" w:rsidRPr="00BC12E0">
          <w:rPr>
            <w:rStyle w:val="Hypertextovodkaz"/>
            <w:color w:val="0070C0"/>
          </w:rPr>
          <w:t>referend roku 2014</w:t>
        </w:r>
      </w:hyperlink>
    </w:p>
    <w:p w:rsidR="0097427B" w:rsidRPr="0097427B" w:rsidRDefault="0097427B" w:rsidP="00680E28">
      <w:pPr>
        <w:rPr>
          <w:color w:val="0070C0"/>
          <w:u w:val="single"/>
        </w:rPr>
      </w:pPr>
      <w:hyperlink r:id="rId14" w:history="1">
        <w:r w:rsidRPr="0097427B">
          <w:rPr>
            <w:rStyle w:val="Hypertextovodkaz"/>
            <w:color w:val="0070C0"/>
          </w:rPr>
          <w:t>Přehled referend</w:t>
        </w:r>
      </w:hyperlink>
    </w:p>
    <w:p w:rsidR="00680E28" w:rsidRPr="00BC12E0" w:rsidRDefault="003D414E" w:rsidP="00680E28">
      <w:pPr>
        <w:rPr>
          <w:b/>
          <w:color w:val="0070C0"/>
          <w:u w:val="single"/>
        </w:rPr>
      </w:pPr>
      <w:hyperlink r:id="rId15" w:history="1">
        <w:r w:rsidR="00680E28" w:rsidRPr="00BC12E0">
          <w:rPr>
            <w:rStyle w:val="Hypertextovodkaz"/>
            <w:color w:val="0070C0"/>
          </w:rPr>
          <w:t>Analýza místních referend 2014</w:t>
        </w:r>
      </w:hyperlink>
    </w:p>
    <w:p w:rsidR="00680E28" w:rsidRPr="00BC12E0" w:rsidRDefault="003D414E" w:rsidP="00680E28">
      <w:pPr>
        <w:rPr>
          <w:b/>
          <w:color w:val="0070C0"/>
          <w:u w:val="single"/>
        </w:rPr>
      </w:pPr>
      <w:hyperlink r:id="rId16" w:history="1">
        <w:r w:rsidR="00680E28" w:rsidRPr="00BC12E0">
          <w:rPr>
            <w:rStyle w:val="Hypertextovodkaz"/>
            <w:color w:val="0070C0"/>
          </w:rPr>
          <w:t>Kuchařka místního referenda – Manuál pro aktivní občany</w:t>
        </w:r>
      </w:hyperlink>
    </w:p>
    <w:p w:rsidR="00680E28" w:rsidRDefault="00680E28" w:rsidP="00680E28">
      <w:pPr>
        <w:rPr>
          <w:b/>
          <w:u w:val="single"/>
        </w:rPr>
      </w:pPr>
    </w:p>
    <w:p w:rsidR="00680E28" w:rsidRPr="00042FB1" w:rsidRDefault="00680E28" w:rsidP="00680E28">
      <w:pPr>
        <w:rPr>
          <w:b/>
          <w:u w:val="single"/>
        </w:rPr>
      </w:pPr>
      <w:r w:rsidRPr="00042FB1">
        <w:rPr>
          <w:b/>
          <w:u w:val="single"/>
        </w:rPr>
        <w:t>Kontakt pro média:</w:t>
      </w:r>
    </w:p>
    <w:p w:rsidR="00680E28" w:rsidRPr="006E60BD" w:rsidRDefault="003D414E" w:rsidP="00680E28">
      <w:pPr>
        <w:spacing w:after="0"/>
        <w:rPr>
          <w:b/>
          <w:color w:val="0070C0"/>
        </w:rPr>
      </w:pPr>
      <w:hyperlink r:id="rId17" w:history="1">
        <w:r w:rsidR="00680E28" w:rsidRPr="006E60BD">
          <w:rPr>
            <w:rStyle w:val="Hypertextovodkaz"/>
            <w:b/>
            <w:color w:val="0070C0"/>
          </w:rPr>
          <w:t>Radim Bureš</w:t>
        </w:r>
      </w:hyperlink>
      <w:r w:rsidR="00680E28" w:rsidRPr="006E60BD">
        <w:rPr>
          <w:b/>
          <w:color w:val="0070C0"/>
        </w:rPr>
        <w:t xml:space="preserve"> </w:t>
      </w:r>
    </w:p>
    <w:p w:rsidR="00680E28" w:rsidRPr="00042FB1" w:rsidRDefault="00680E28" w:rsidP="00680E28">
      <w:pPr>
        <w:spacing w:after="0"/>
      </w:pPr>
      <w:r w:rsidRPr="00042FB1">
        <w:t>Programový ředitel Transparency International Česká republika</w:t>
      </w:r>
    </w:p>
    <w:p w:rsidR="00680E28" w:rsidRPr="00042FB1" w:rsidRDefault="00680E28" w:rsidP="00680E28">
      <w:pPr>
        <w:spacing w:after="0"/>
      </w:pPr>
      <w:r w:rsidRPr="00042FB1">
        <w:t>Mobil: +420 733 666 008</w:t>
      </w:r>
    </w:p>
    <w:p w:rsidR="00680E28" w:rsidRDefault="00680E28" w:rsidP="00680E28">
      <w:pPr>
        <w:spacing w:after="0"/>
        <w:rPr>
          <w:color w:val="0070C0"/>
        </w:rPr>
      </w:pPr>
      <w:r w:rsidRPr="00042FB1">
        <w:t xml:space="preserve">E-mail: </w:t>
      </w:r>
      <w:hyperlink r:id="rId18" w:history="1">
        <w:r w:rsidRPr="00BC12E0">
          <w:rPr>
            <w:rStyle w:val="Hypertextovodkaz"/>
            <w:color w:val="0070C0"/>
          </w:rPr>
          <w:t>bures@transparency.cz</w:t>
        </w:r>
      </w:hyperlink>
      <w:r w:rsidRPr="00BC12E0">
        <w:rPr>
          <w:color w:val="0070C0"/>
        </w:rPr>
        <w:t xml:space="preserve"> </w:t>
      </w:r>
    </w:p>
    <w:p w:rsidR="00680E28" w:rsidRDefault="00680E28" w:rsidP="00680E28">
      <w:pPr>
        <w:spacing w:after="0"/>
        <w:rPr>
          <w:color w:val="0070C0"/>
        </w:rPr>
      </w:pPr>
    </w:p>
    <w:p w:rsidR="00680E28" w:rsidRPr="00A36938" w:rsidRDefault="003D414E" w:rsidP="00680E28">
      <w:pPr>
        <w:spacing w:after="0"/>
        <w:rPr>
          <w:b/>
          <w:color w:val="0070C0"/>
        </w:rPr>
      </w:pPr>
      <w:hyperlink r:id="rId19" w:history="1">
        <w:r w:rsidR="00680E28" w:rsidRPr="00A36938">
          <w:rPr>
            <w:rStyle w:val="Hypertextovodkaz"/>
            <w:b/>
            <w:color w:val="0070C0"/>
          </w:rPr>
          <w:t>Tereza Zběžková</w:t>
        </w:r>
      </w:hyperlink>
    </w:p>
    <w:p w:rsidR="00680E28" w:rsidRDefault="00680E28" w:rsidP="00680E28">
      <w:pPr>
        <w:spacing w:after="0"/>
      </w:pPr>
      <w:r>
        <w:t>Vedoucí projektu Rok místních referend</w:t>
      </w:r>
    </w:p>
    <w:p w:rsidR="00680E28" w:rsidRDefault="00680E28" w:rsidP="00680E28">
      <w:pPr>
        <w:spacing w:after="0"/>
      </w:pPr>
      <w:r w:rsidRPr="003A3181">
        <w:t>Transparency International Česká republika</w:t>
      </w:r>
    </w:p>
    <w:p w:rsidR="00680E28" w:rsidRPr="00104C9E" w:rsidRDefault="00680E28" w:rsidP="00680E28">
      <w:pPr>
        <w:spacing w:after="0"/>
      </w:pPr>
      <w:r>
        <w:t xml:space="preserve">E-mail: </w:t>
      </w:r>
      <w:hyperlink r:id="rId20" w:history="1">
        <w:r w:rsidRPr="00BC12E0">
          <w:rPr>
            <w:rStyle w:val="Hypertextovodkaz"/>
            <w:color w:val="0070C0"/>
          </w:rPr>
          <w:t>tereza.zbezkova@transparency.cz</w:t>
        </w:r>
      </w:hyperlink>
      <w:r w:rsidRPr="00BC12E0">
        <w:rPr>
          <w:color w:val="0070C0"/>
        </w:rPr>
        <w:t xml:space="preserve"> </w:t>
      </w:r>
    </w:p>
    <w:p w:rsidR="00104C9E" w:rsidRPr="00104C9E" w:rsidRDefault="00104C9E" w:rsidP="00680E28"/>
    <w:sectPr w:rsidR="00104C9E" w:rsidRPr="00104C9E" w:rsidSect="00A17C1A">
      <w:headerReference w:type="default" r:id="rId21"/>
      <w:footerReference w:type="default" r:id="rId22"/>
      <w:pgSz w:w="11906" w:h="16838"/>
      <w:pgMar w:top="1417" w:right="1417" w:bottom="1417" w:left="1417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4E" w:rsidRDefault="003D414E" w:rsidP="00A94435">
      <w:pPr>
        <w:spacing w:after="0" w:line="240" w:lineRule="auto"/>
      </w:pPr>
      <w:r>
        <w:separator/>
      </w:r>
    </w:p>
  </w:endnote>
  <w:endnote w:type="continuationSeparator" w:id="0">
    <w:p w:rsidR="003D414E" w:rsidRDefault="003D414E" w:rsidP="00A9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swald">
    <w:panose1 w:val="02000303000000000000"/>
    <w:charset w:val="EE"/>
    <w:family w:val="auto"/>
    <w:pitch w:val="variable"/>
    <w:sig w:usb0="A00000EF" w:usb1="40000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1A" w:rsidRDefault="00A17C1A" w:rsidP="00A17C1A">
    <w:pPr>
      <w:pStyle w:val="Zpat"/>
      <w:jc w:val="center"/>
    </w:pPr>
    <w:r>
      <w:rPr>
        <w:noProof/>
        <w:lang w:eastAsia="cs-CZ"/>
      </w:rPr>
      <w:drawing>
        <wp:inline distT="0" distB="0" distL="0" distR="0" wp14:anchorId="43005FF8" wp14:editId="006E854A">
          <wp:extent cx="4837814" cy="551400"/>
          <wp:effectExtent l="0" t="0" r="1270" b="1270"/>
          <wp:docPr id="10" name="obrázek 5" descr="Logo link Obchod s bíd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ink Obchod s bíd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6028" cy="55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C1A" w:rsidRPr="00A17C1A" w:rsidRDefault="00A17C1A" w:rsidP="00A17C1A">
    <w:pPr>
      <w:pStyle w:val="Zpat"/>
      <w:tabs>
        <w:tab w:val="clear" w:pos="9072"/>
        <w:tab w:val="left" w:pos="5475"/>
        <w:tab w:val="right" w:pos="9781"/>
      </w:tabs>
      <w:ind w:left="-567" w:right="-709"/>
      <w:rPr>
        <w:i/>
      </w:rPr>
    </w:pPr>
    <w:r w:rsidRPr="00AA0A66">
      <w:rPr>
        <w:i/>
      </w:rPr>
      <w:t>Podpořeno grantem z Islandu, Lichtenštejnska a Norska v rámci EHP fondů.</w:t>
    </w:r>
    <w:r w:rsidRPr="00AA0A66">
      <w:rPr>
        <w:i/>
        <w:noProof/>
        <w:lang w:eastAsia="cs-CZ"/>
      </w:rPr>
      <w:t xml:space="preserve"> </w:t>
    </w:r>
    <w:proofErr w:type="gramStart"/>
    <w:r w:rsidRPr="00AA0A66">
      <w:rPr>
        <w:i/>
      </w:rPr>
      <w:t>www</w:t>
    </w:r>
    <w:proofErr w:type="gramEnd"/>
    <w:r w:rsidRPr="00AA0A66">
      <w:rPr>
        <w:i/>
      </w:rPr>
      <w:t>.fondnno.cz a www.eeagrants.cz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4E" w:rsidRDefault="003D414E" w:rsidP="00A94435">
      <w:pPr>
        <w:spacing w:after="0" w:line="240" w:lineRule="auto"/>
      </w:pPr>
      <w:r>
        <w:separator/>
      </w:r>
    </w:p>
  </w:footnote>
  <w:footnote w:type="continuationSeparator" w:id="0">
    <w:p w:rsidR="003D414E" w:rsidRDefault="003D414E" w:rsidP="00A9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35" w:rsidRDefault="00A17C1A">
    <w:pPr>
      <w:pStyle w:val="Zhlav"/>
    </w:pPr>
    <w:r w:rsidRPr="00AA0A66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07B18E" wp14:editId="79336A13">
          <wp:simplePos x="0" y="0"/>
          <wp:positionH relativeFrom="column">
            <wp:posOffset>5028565</wp:posOffset>
          </wp:positionH>
          <wp:positionV relativeFrom="paragraph">
            <wp:posOffset>-76200</wp:posOffset>
          </wp:positionV>
          <wp:extent cx="711835" cy="711835"/>
          <wp:effectExtent l="0" t="0" r="0" b="0"/>
          <wp:wrapTight wrapText="bothSides">
            <wp:wrapPolygon edited="0">
              <wp:start x="12139" y="0"/>
              <wp:lineTo x="1734" y="3468"/>
              <wp:lineTo x="578" y="4624"/>
              <wp:lineTo x="4624" y="19654"/>
              <wp:lineTo x="4624" y="20810"/>
              <wp:lineTo x="8671" y="20810"/>
              <wp:lineTo x="16186" y="19654"/>
              <wp:lineTo x="20232" y="16186"/>
              <wp:lineTo x="16764" y="0"/>
              <wp:lineTo x="1213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435">
      <w:rPr>
        <w:noProof/>
        <w:lang w:eastAsia="cs-CZ"/>
      </w:rPr>
      <w:drawing>
        <wp:inline distT="0" distB="0" distL="0" distR="0" wp14:anchorId="447964C5" wp14:editId="001BBBCD">
          <wp:extent cx="2550516" cy="372140"/>
          <wp:effectExtent l="0" t="0" r="254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20" cy="371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94435" w:rsidRPr="002E4134" w:rsidRDefault="00A94435" w:rsidP="00A94435">
    <w:pPr>
      <w:pStyle w:val="Zhlav"/>
      <w:tabs>
        <w:tab w:val="clear" w:pos="4536"/>
        <w:tab w:val="clear" w:pos="9072"/>
        <w:tab w:val="left" w:pos="4020"/>
      </w:tabs>
      <w:rPr>
        <w:rFonts w:ascii="Oswald" w:hAnsi="Oswald"/>
        <w:i/>
        <w:color w:val="0065B3"/>
        <w:sz w:val="20"/>
        <w:szCs w:val="20"/>
      </w:rPr>
    </w:pPr>
    <w:r>
      <w:rPr>
        <w:rFonts w:ascii="Oswald" w:hAnsi="Oswald"/>
        <w:i/>
        <w:color w:val="0065B3"/>
        <w:sz w:val="20"/>
        <w:szCs w:val="20"/>
      </w:rPr>
      <w:t>„</w:t>
    </w:r>
    <w:r w:rsidRPr="002E4134">
      <w:rPr>
        <w:rFonts w:ascii="Oswald" w:hAnsi="Oswald"/>
        <w:i/>
        <w:color w:val="0065B3"/>
        <w:sz w:val="20"/>
        <w:szCs w:val="20"/>
      </w:rPr>
      <w:t>Hlídáme veřejný zájem, hájíme efektivní a odpovědnou správu země.</w:t>
    </w:r>
    <w:r>
      <w:rPr>
        <w:rFonts w:ascii="Oswald" w:hAnsi="Oswald"/>
        <w:i/>
        <w:color w:val="0065B3"/>
        <w:sz w:val="20"/>
        <w:szCs w:val="20"/>
      </w:rPr>
      <w:t>“</w:t>
    </w:r>
  </w:p>
  <w:p w:rsidR="00A94435" w:rsidRDefault="00A94435">
    <w:pPr>
      <w:pStyle w:val="Zhlav"/>
    </w:pPr>
  </w:p>
  <w:p w:rsidR="00A94435" w:rsidRDefault="00A944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71A"/>
    <w:multiLevelType w:val="hybridMultilevel"/>
    <w:tmpl w:val="4BD0FF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30EC"/>
    <w:multiLevelType w:val="hybridMultilevel"/>
    <w:tmpl w:val="B4465DB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C771069"/>
    <w:multiLevelType w:val="hybridMultilevel"/>
    <w:tmpl w:val="688C3B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81089"/>
    <w:multiLevelType w:val="hybridMultilevel"/>
    <w:tmpl w:val="FE0E0D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35"/>
    <w:rsid w:val="0000422B"/>
    <w:rsid w:val="00016A57"/>
    <w:rsid w:val="00042FB1"/>
    <w:rsid w:val="00051B97"/>
    <w:rsid w:val="00071A95"/>
    <w:rsid w:val="00085F38"/>
    <w:rsid w:val="000B2E85"/>
    <w:rsid w:val="000C1B42"/>
    <w:rsid w:val="00104C9E"/>
    <w:rsid w:val="00147F77"/>
    <w:rsid w:val="00172D7A"/>
    <w:rsid w:val="00183C9E"/>
    <w:rsid w:val="001A1923"/>
    <w:rsid w:val="002000F2"/>
    <w:rsid w:val="002046FD"/>
    <w:rsid w:val="002406B1"/>
    <w:rsid w:val="00256011"/>
    <w:rsid w:val="00264C72"/>
    <w:rsid w:val="002912A2"/>
    <w:rsid w:val="002D53BA"/>
    <w:rsid w:val="002D71A0"/>
    <w:rsid w:val="002F7122"/>
    <w:rsid w:val="0030609B"/>
    <w:rsid w:val="00313AA5"/>
    <w:rsid w:val="00353819"/>
    <w:rsid w:val="00361417"/>
    <w:rsid w:val="003A3181"/>
    <w:rsid w:val="003A5626"/>
    <w:rsid w:val="003B3C4A"/>
    <w:rsid w:val="003C6260"/>
    <w:rsid w:val="003D414E"/>
    <w:rsid w:val="003E1004"/>
    <w:rsid w:val="003E6DAB"/>
    <w:rsid w:val="003F6885"/>
    <w:rsid w:val="0043252C"/>
    <w:rsid w:val="0048156D"/>
    <w:rsid w:val="004C3CCA"/>
    <w:rsid w:val="004F123F"/>
    <w:rsid w:val="00520B4A"/>
    <w:rsid w:val="00523D59"/>
    <w:rsid w:val="00540272"/>
    <w:rsid w:val="00557660"/>
    <w:rsid w:val="005606C1"/>
    <w:rsid w:val="00560B26"/>
    <w:rsid w:val="00561862"/>
    <w:rsid w:val="00561DF1"/>
    <w:rsid w:val="005626F2"/>
    <w:rsid w:val="005778EA"/>
    <w:rsid w:val="0058091A"/>
    <w:rsid w:val="005A0040"/>
    <w:rsid w:val="005A1B29"/>
    <w:rsid w:val="005E3582"/>
    <w:rsid w:val="00607C54"/>
    <w:rsid w:val="006561E3"/>
    <w:rsid w:val="00680E28"/>
    <w:rsid w:val="006A6E69"/>
    <w:rsid w:val="006C5F60"/>
    <w:rsid w:val="006D2AD0"/>
    <w:rsid w:val="006E7130"/>
    <w:rsid w:val="006F3D33"/>
    <w:rsid w:val="007159DC"/>
    <w:rsid w:val="00723BDE"/>
    <w:rsid w:val="0074119C"/>
    <w:rsid w:val="007A4283"/>
    <w:rsid w:val="007B4D4F"/>
    <w:rsid w:val="007C2BBA"/>
    <w:rsid w:val="0080702F"/>
    <w:rsid w:val="008258AF"/>
    <w:rsid w:val="00832F7A"/>
    <w:rsid w:val="00844E15"/>
    <w:rsid w:val="008903EC"/>
    <w:rsid w:val="00892F07"/>
    <w:rsid w:val="008D177A"/>
    <w:rsid w:val="008D77D2"/>
    <w:rsid w:val="008E6E5E"/>
    <w:rsid w:val="009054D0"/>
    <w:rsid w:val="009372F5"/>
    <w:rsid w:val="00945B02"/>
    <w:rsid w:val="00967EFF"/>
    <w:rsid w:val="0097427B"/>
    <w:rsid w:val="009E5B83"/>
    <w:rsid w:val="00A146CD"/>
    <w:rsid w:val="00A17C1A"/>
    <w:rsid w:val="00A248F8"/>
    <w:rsid w:val="00A3429A"/>
    <w:rsid w:val="00A43CFC"/>
    <w:rsid w:val="00A908B6"/>
    <w:rsid w:val="00A94435"/>
    <w:rsid w:val="00A95028"/>
    <w:rsid w:val="00AA53B4"/>
    <w:rsid w:val="00AB331E"/>
    <w:rsid w:val="00AC5B2A"/>
    <w:rsid w:val="00AE3E0D"/>
    <w:rsid w:val="00B10B43"/>
    <w:rsid w:val="00B25D0C"/>
    <w:rsid w:val="00B51AD4"/>
    <w:rsid w:val="00B641AA"/>
    <w:rsid w:val="00B91C38"/>
    <w:rsid w:val="00BB295C"/>
    <w:rsid w:val="00BC0ECF"/>
    <w:rsid w:val="00BC754F"/>
    <w:rsid w:val="00BD1F64"/>
    <w:rsid w:val="00BF3FBD"/>
    <w:rsid w:val="00C036D6"/>
    <w:rsid w:val="00C2090E"/>
    <w:rsid w:val="00C31B0A"/>
    <w:rsid w:val="00C77C2E"/>
    <w:rsid w:val="00CB03F6"/>
    <w:rsid w:val="00CF5AFB"/>
    <w:rsid w:val="00D9166B"/>
    <w:rsid w:val="00D9655D"/>
    <w:rsid w:val="00DB2E10"/>
    <w:rsid w:val="00E0772E"/>
    <w:rsid w:val="00E55FDC"/>
    <w:rsid w:val="00E63B1E"/>
    <w:rsid w:val="00E82839"/>
    <w:rsid w:val="00E878F8"/>
    <w:rsid w:val="00F24876"/>
    <w:rsid w:val="00F647C8"/>
    <w:rsid w:val="00F913A6"/>
    <w:rsid w:val="00FD451C"/>
    <w:rsid w:val="00FD7E77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435"/>
  </w:style>
  <w:style w:type="paragraph" w:styleId="Zpat">
    <w:name w:val="footer"/>
    <w:basedOn w:val="Normln"/>
    <w:link w:val="Zpat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435"/>
  </w:style>
  <w:style w:type="paragraph" w:styleId="Textbubliny">
    <w:name w:val="Balloon Text"/>
    <w:basedOn w:val="Normln"/>
    <w:link w:val="TextbublinyChar"/>
    <w:uiPriority w:val="99"/>
    <w:semiHidden/>
    <w:unhideWhenUsed/>
    <w:rsid w:val="00A9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4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5AF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F6885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1C3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77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3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6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6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435"/>
  </w:style>
  <w:style w:type="paragraph" w:styleId="Zpat">
    <w:name w:val="footer"/>
    <w:basedOn w:val="Normln"/>
    <w:link w:val="ZpatChar"/>
    <w:uiPriority w:val="99"/>
    <w:unhideWhenUsed/>
    <w:rsid w:val="00A9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435"/>
  </w:style>
  <w:style w:type="paragraph" w:styleId="Textbubliny">
    <w:name w:val="Balloon Text"/>
    <w:basedOn w:val="Normln"/>
    <w:link w:val="TextbublinyChar"/>
    <w:uiPriority w:val="99"/>
    <w:semiHidden/>
    <w:unhideWhenUsed/>
    <w:rsid w:val="00A9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4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F5AF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F6885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1C3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77D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36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6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6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6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cy.cz/rok-mistnich-referend/" TargetMode="External"/><Relationship Id="rId13" Type="http://schemas.openxmlformats.org/officeDocument/2006/relationships/hyperlink" Target="http://www.transparency.cz/wp-content/uploads/Rok-M&#237;stn&#237;ch-Referend-header.png" TargetMode="External"/><Relationship Id="rId18" Type="http://schemas.openxmlformats.org/officeDocument/2006/relationships/hyperlink" Target="mailto:bures@transparency.cz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transparency.cz/analyza-mistnich-referend-2014/" TargetMode="External"/><Relationship Id="rId17" Type="http://schemas.openxmlformats.org/officeDocument/2006/relationships/hyperlink" Target="http://www.transparency.cz/radim-bur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nsparency.cz/kucharka-mistniho-referenda/" TargetMode="External"/><Relationship Id="rId20" Type="http://schemas.openxmlformats.org/officeDocument/2006/relationships/hyperlink" Target="mailto:tereza.zbezkova@transparency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nsparency.cz/kucharka-mistniho-referend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ransparency.cz/analyza-mistnich-referend-201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ransparency.cz/rok-mistnich-referend/" TargetMode="External"/><Relationship Id="rId19" Type="http://schemas.openxmlformats.org/officeDocument/2006/relationships/hyperlink" Target="http://www.transparency.cz/tereza-zbezko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transparency.cz/wp-content/uploads/Rok-M&#237;stn&#237;ch-Referend-Tabulka-referend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731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Bureš</dc:creator>
  <cp:lastModifiedBy>Apollo</cp:lastModifiedBy>
  <cp:revision>3</cp:revision>
  <cp:lastPrinted>2016-02-08T15:48:00Z</cp:lastPrinted>
  <dcterms:created xsi:type="dcterms:W3CDTF">2016-02-09T15:43:00Z</dcterms:created>
  <dcterms:modified xsi:type="dcterms:W3CDTF">2016-02-09T19:37:00Z</dcterms:modified>
</cp:coreProperties>
</file>