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9" w:rsidRPr="00F46327" w:rsidRDefault="007457A9" w:rsidP="007457A9">
      <w:pPr>
        <w:jc w:val="both"/>
        <w:rPr>
          <w:rFonts w:asciiTheme="minorHAnsi" w:hAnsiTheme="minorHAnsi"/>
          <w:sz w:val="25"/>
          <w:szCs w:val="25"/>
        </w:rPr>
      </w:pPr>
    </w:p>
    <w:p w:rsidR="007457A9" w:rsidRPr="00F46327" w:rsidRDefault="007457A9" w:rsidP="007457A9">
      <w:pPr>
        <w:jc w:val="both"/>
        <w:rPr>
          <w:rFonts w:asciiTheme="minorHAnsi" w:hAnsiTheme="minorHAnsi"/>
          <w:sz w:val="25"/>
          <w:szCs w:val="25"/>
        </w:rPr>
      </w:pPr>
    </w:p>
    <w:p w:rsidR="00F46327" w:rsidRPr="00F46327" w:rsidRDefault="00F46327" w:rsidP="00F46327">
      <w:pPr>
        <w:pStyle w:val="Nadpis1"/>
        <w:spacing w:line="276" w:lineRule="auto"/>
        <w:rPr>
          <w:rFonts w:asciiTheme="minorHAnsi" w:hAnsiTheme="minorHAnsi"/>
          <w:b/>
          <w:color w:val="0070C0"/>
        </w:rPr>
      </w:pPr>
      <w:r w:rsidRPr="00F46327">
        <w:rPr>
          <w:rFonts w:asciiTheme="minorHAnsi" w:hAnsiTheme="minorHAnsi"/>
          <w:b/>
          <w:color w:val="0070C0"/>
        </w:rPr>
        <w:t>TI: Průběžný monitoring financování politických stran – únor 2016</w:t>
      </w:r>
    </w:p>
    <w:p w:rsidR="00F46327" w:rsidRPr="00F46327" w:rsidRDefault="00F46327" w:rsidP="00F46327">
      <w:pPr>
        <w:spacing w:line="276" w:lineRule="auto"/>
        <w:jc w:val="both"/>
        <w:rPr>
          <w:rFonts w:asciiTheme="minorHAnsi" w:hAnsiTheme="minorHAnsi"/>
        </w:rPr>
      </w:pP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Důvody monitoringu</w:t>
      </w:r>
    </w:p>
    <w:p w:rsidR="00F46327" w:rsidRPr="00F46327" w:rsidRDefault="00F46327" w:rsidP="00F46327">
      <w:pPr>
        <w:spacing w:line="276" w:lineRule="auto"/>
        <w:jc w:val="both"/>
        <w:rPr>
          <w:rFonts w:asciiTheme="minorHAnsi" w:hAnsiTheme="minorHAnsi"/>
        </w:rPr>
      </w:pPr>
      <w:proofErr w:type="gramStart"/>
      <w:r w:rsidRPr="00F46327">
        <w:rPr>
          <w:rFonts w:asciiTheme="minorHAnsi" w:hAnsiTheme="minorHAnsi"/>
        </w:rPr>
        <w:t>TI</w:t>
      </w:r>
      <w:proofErr w:type="gramEnd"/>
      <w:r w:rsidRPr="00F46327">
        <w:rPr>
          <w:rFonts w:asciiTheme="minorHAnsi" w:hAnsiTheme="minorHAnsi"/>
        </w:rPr>
        <w:t xml:space="preserve"> již dlouhodobě </w:t>
      </w:r>
      <w:proofErr w:type="gramStart"/>
      <w:r w:rsidRPr="00F46327">
        <w:rPr>
          <w:rFonts w:asciiTheme="minorHAnsi" w:hAnsiTheme="minorHAnsi"/>
        </w:rPr>
        <w:t>monitoruje</w:t>
      </w:r>
      <w:proofErr w:type="gramEnd"/>
      <w:r w:rsidRPr="00F46327">
        <w:rPr>
          <w:rFonts w:asciiTheme="minorHAnsi" w:hAnsiTheme="minorHAnsi"/>
        </w:rPr>
        <w:t xml:space="preserve"> financování stran a to především v období voleb již od konce roku 2012 monitoringem průběhu prezidentských voleb. Po pozitivním veřejném ohlasu na tento projekt jsme se rozhodli v určitých obměnách monitorovat všechny nadcházející volby. Nicméně ani nevolební období není důvod pro zmírnění pozornosti v oblasti financování politických stran. V současné době leží v PSP ČR návrh zákona o financování politických stran. V tomto zákoně je diskutovaným tématem i vznik nezávislého kontrolního úřadu. Bez institucionálního přezkumu (tzv. Úřadu na dohled nad hospodařením stran) není možné prohloubit a zefektivnit monitoring, vynucovat sankcemi dodržování pravidel a zvýšit veřejný dohled nad hospodařením stran. O to aktuálnější je otázka jeho schválení s blížícími se krajskými a senátními volbami. V případě úspěšného schválení zákona v rozumné podobě bychom tak na podzim mohli být svědky voleb podle změněných pravidel hry.</w:t>
      </w: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jc w:val="both"/>
        <w:rPr>
          <w:rFonts w:asciiTheme="minorHAnsi" w:hAnsiTheme="minorHAnsi"/>
        </w:rPr>
      </w:pPr>
      <w:r w:rsidRPr="00F46327">
        <w:rPr>
          <w:rFonts w:asciiTheme="minorHAnsi" w:hAnsiTheme="minorHAnsi"/>
        </w:rPr>
        <w:t xml:space="preserve"> Nejrůznější nevládní a nezisková uskupení vytváří veřejný tlak na větší otevřenost financování politických stran a je nutno vyzvednout, že tento tlak funguje. Strany začínají více zveřejňovat své finance a začínají tuto praxi brát jako standard. Bohužel zatím jen postupně a nedokonale. Proto monitoringy a analýzy volebních financí představují svou náplní předobraz náplně práce možná vzniknuvšího Úřadu, který by zažitou praxi mohl posunout výrazně transparentnějším směrem.</w:t>
      </w:r>
    </w:p>
    <w:p w:rsidR="00F46327" w:rsidRPr="00F46327" w:rsidRDefault="00F46327" w:rsidP="00F46327">
      <w:pPr>
        <w:spacing w:line="276" w:lineRule="auto"/>
        <w:jc w:val="both"/>
        <w:rPr>
          <w:rFonts w:asciiTheme="minorHAnsi" w:hAnsiTheme="minorHAnsi"/>
        </w:rPr>
      </w:pPr>
      <w:r w:rsidRPr="00F46327">
        <w:rPr>
          <w:rFonts w:asciiTheme="minorHAnsi" w:hAnsiTheme="minorHAnsi"/>
        </w:rPr>
        <w:t>Stranické finance je potřeba průběžně sledovat a analyzovat, jinak se pouze v dubnu zveřejní výroční zprávy, pro formální nedostatky se zkontrolují a po několik novinových článků situace kolem financování stran zase utichne.</w:t>
      </w: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jc w:val="both"/>
        <w:rPr>
          <w:rFonts w:asciiTheme="minorHAnsi" w:hAnsiTheme="minorHAnsi"/>
        </w:rPr>
      </w:pPr>
      <w:r w:rsidRPr="00F46327">
        <w:rPr>
          <w:rFonts w:asciiTheme="minorHAnsi" w:hAnsiTheme="minorHAnsi"/>
        </w:rPr>
        <w:t>V tomto projektu sledujeme zejména příjmy stran (hlavně dary a sponzorské příspěvky právnických osob) – na rozdíl od volebních období, kdy již tradičně sledujeme i výdaje a další aspekty kampaní.</w:t>
      </w:r>
    </w:p>
    <w:p w:rsidR="00F46327" w:rsidRPr="00F46327" w:rsidRDefault="00F46327" w:rsidP="00F46327">
      <w:pPr>
        <w:spacing w:line="276" w:lineRule="auto"/>
        <w:jc w:val="both"/>
        <w:rPr>
          <w:rFonts w:asciiTheme="minorHAnsi" w:hAnsiTheme="minorHAnsi"/>
        </w:rPr>
      </w:pP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Zákon – vývoj</w:t>
      </w:r>
    </w:p>
    <w:p w:rsidR="00F46327" w:rsidRPr="00F46327" w:rsidRDefault="00F46327" w:rsidP="00F46327">
      <w:pPr>
        <w:spacing w:line="276" w:lineRule="auto"/>
        <w:jc w:val="both"/>
        <w:rPr>
          <w:rFonts w:asciiTheme="minorHAnsi" w:hAnsiTheme="minorHAnsi"/>
        </w:rPr>
      </w:pPr>
      <w:r w:rsidRPr="00F46327">
        <w:rPr>
          <w:rFonts w:asciiTheme="minorHAnsi" w:hAnsiTheme="minorHAnsi"/>
        </w:rPr>
        <w:t>Návrh zákona leží ve sněmovně a není stále zařazen na program jednání – chybí na něm politická shoda, i když všichni deklarují jeho potřebu (i přes deklaraci jeho potřeby napříč politickým spektrem). Existuje reálné riziko, že nebude projednán touto sněmovnou (a padne úplně pod stůl), anebo i další sněmovní volby v roce 2017 proběhnou podle stávajících (nedostatečných) pravidel.</w:t>
      </w: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jc w:val="both"/>
        <w:rPr>
          <w:rFonts w:asciiTheme="minorHAnsi" w:hAnsiTheme="minorHAnsi"/>
        </w:rPr>
      </w:pPr>
      <w:r w:rsidRPr="00F46327">
        <w:rPr>
          <w:rFonts w:asciiTheme="minorHAnsi" w:hAnsiTheme="minorHAnsi"/>
        </w:rPr>
        <w:lastRenderedPageBreak/>
        <w:t>Proto TI vyzývá vládní koalici: zařaďte napevno projednání zákona na program sněmovny!</w:t>
      </w:r>
    </w:p>
    <w:p w:rsidR="00F46327" w:rsidRPr="00F46327" w:rsidRDefault="00F46327" w:rsidP="00F46327">
      <w:pPr>
        <w:spacing w:line="276" w:lineRule="auto"/>
        <w:jc w:val="both"/>
        <w:rPr>
          <w:rFonts w:asciiTheme="minorHAnsi" w:hAnsiTheme="minorHAnsi"/>
        </w:rPr>
      </w:pP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Transparentní účet</w:t>
      </w:r>
    </w:p>
    <w:p w:rsidR="00F46327" w:rsidRPr="00F46327" w:rsidRDefault="00F46327" w:rsidP="00F46327">
      <w:pPr>
        <w:spacing w:line="276" w:lineRule="auto"/>
        <w:jc w:val="both"/>
        <w:rPr>
          <w:rFonts w:asciiTheme="minorHAnsi" w:hAnsiTheme="minorHAnsi"/>
        </w:rPr>
      </w:pPr>
      <w:r w:rsidRPr="00F46327">
        <w:rPr>
          <w:rFonts w:asciiTheme="minorHAnsi" w:hAnsiTheme="minorHAnsi"/>
        </w:rPr>
        <w:t>TÚ je často zmiňovaným důkazem čistoty stranického financování. Úspěšným působením veřejného tlaku si strany vedle pouhé výroční zprávy začaly postupně zakládat také transparentní účty, díky kterým lze sledovat aktuální tok financí. Má to ale několik omezení. Pro efektivní fungování takového transparentního účtu je třeba mít jasně deklarovaný účel, časové období a jeho koncipování by mělo zprůhledňovat obě části rozpočtu, tedy jak příjmy, tak i výdaje. V současné době má již většina stran zavedenou určitou formu transparentního účtu, což představuje výrazný posun proti blízké minulosti. Bohužel tvrzení, že mají transparentní účet, představuje určité zkreslení a falešné konejšení, že jsou jejich finance známy. Současné transparentní účty politických subjektů jsou v drtivé většinou doplněny o další, klasické netransparentní účty, u kterých odborná ani laická veřejnost nemá přehled o celé struktuře příjmů a výdajů. Proto i přes veřejnou deklaraci transparentního účtu a tedy i financování, nepřiznané dary mohou stále existovat. Navíc u takovýchto transparentních účtů se dobrým úmyslem, ale špatným provedením může jevit i založení jednoho univerzálního transparentního účtu, který nerozlišuje volební/nevolební období a je složité analyzovat jednotlivé transakce a určit jejich důvod. Pro přehlednost uvádíme níže výčet aktuální praxe u politických stran zastoupených v Parlament ČR:</w:t>
      </w:r>
    </w:p>
    <w:p w:rsidR="00F46327" w:rsidRPr="00F46327" w:rsidRDefault="00F46327" w:rsidP="00F46327">
      <w:pPr>
        <w:spacing w:line="276" w:lineRule="auto"/>
        <w:jc w:val="both"/>
        <w:rPr>
          <w:rFonts w:asciiTheme="minorHAnsi" w:hAnsiTheme="minorHAnsi"/>
        </w:rPr>
      </w:pP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ANO – příjmový zveřejňují, výdajový nedostupný</w:t>
      </w: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ČSSD – transparentní účty má jen na volby</w:t>
      </w: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KDU-ČSL – transparentní výdajový, ale skoro žádné výdaje neuvedeny</w:t>
      </w: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ODS - příjmový je transparentní, výdajový nedostupný</w:t>
      </w: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TOP09 – transparentní provozní účet, „dotovaný“ standardním účtem</w:t>
      </w: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ÚSVIT – transparentní účet pouze do sněmovních voleb 2013</w:t>
      </w: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STRANA ZELENÝCH – velké množství transparentních účtů (obtížně přehledné)</w:t>
      </w:r>
    </w:p>
    <w:p w:rsidR="00F46327" w:rsidRPr="00F46327" w:rsidRDefault="00F46327" w:rsidP="00F46327">
      <w:pPr>
        <w:numPr>
          <w:ilvl w:val="0"/>
          <w:numId w:val="2"/>
        </w:numPr>
        <w:spacing w:line="276" w:lineRule="auto"/>
        <w:jc w:val="both"/>
        <w:rPr>
          <w:rFonts w:asciiTheme="minorHAnsi" w:hAnsiTheme="minorHAnsi"/>
        </w:rPr>
      </w:pPr>
      <w:r w:rsidRPr="00F46327">
        <w:rPr>
          <w:rFonts w:asciiTheme="minorHAnsi" w:hAnsiTheme="minorHAnsi"/>
        </w:rPr>
        <w:t>SVOBODNÍ – jeden transparentní účet pro všechno</w:t>
      </w:r>
    </w:p>
    <w:p w:rsidR="00F46327" w:rsidRPr="00F46327" w:rsidRDefault="00F46327" w:rsidP="00F46327">
      <w:pPr>
        <w:spacing w:line="276" w:lineRule="auto"/>
        <w:jc w:val="both"/>
        <w:rPr>
          <w:rFonts w:asciiTheme="minorHAnsi" w:hAnsiTheme="minorHAnsi"/>
        </w:rPr>
      </w:pP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Zdroje financování stran</w:t>
      </w:r>
    </w:p>
    <w:p w:rsidR="00F46327" w:rsidRPr="00F46327" w:rsidRDefault="00F46327" w:rsidP="00F46327">
      <w:pPr>
        <w:spacing w:line="276" w:lineRule="auto"/>
        <w:jc w:val="both"/>
        <w:rPr>
          <w:rFonts w:asciiTheme="minorHAnsi" w:hAnsiTheme="minorHAnsi"/>
        </w:rPr>
      </w:pPr>
      <w:r w:rsidRPr="00F46327">
        <w:rPr>
          <w:rFonts w:asciiTheme="minorHAnsi" w:hAnsiTheme="minorHAnsi"/>
        </w:rPr>
        <w:t>Strany hospodaří s rozpočtem, který je primárně rozdělen do dvou složek, a to interních a externích zdrojů. Interní představují především členské příspěvky, příjmy z pronájmu či akcí a externí zahrnují příjmy z podnikání, státní příspěvky (na činnost či ve formě úhrady volebních nákladů), úvěry a půjčky.</w:t>
      </w: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jc w:val="both"/>
        <w:rPr>
          <w:rFonts w:asciiTheme="minorHAnsi" w:hAnsiTheme="minorHAnsi"/>
        </w:rPr>
      </w:pPr>
      <w:r w:rsidRPr="00F46327">
        <w:rPr>
          <w:rFonts w:asciiTheme="minorHAnsi" w:hAnsiTheme="minorHAnsi"/>
        </w:rPr>
        <w:t>Absolutní většinu zdrojů financování všech politických stran představují především tyto tři položky:</w:t>
      </w:r>
    </w:p>
    <w:p w:rsidR="00F46327" w:rsidRPr="00F46327" w:rsidRDefault="00F46327" w:rsidP="00F46327">
      <w:pPr>
        <w:numPr>
          <w:ilvl w:val="1"/>
          <w:numId w:val="3"/>
        </w:numPr>
        <w:spacing w:line="276" w:lineRule="auto"/>
        <w:jc w:val="both"/>
        <w:rPr>
          <w:rFonts w:asciiTheme="minorHAnsi" w:hAnsiTheme="minorHAnsi"/>
        </w:rPr>
      </w:pPr>
      <w:r w:rsidRPr="00F46327">
        <w:rPr>
          <w:rFonts w:asciiTheme="minorHAnsi" w:hAnsiTheme="minorHAnsi"/>
          <w:bCs/>
        </w:rPr>
        <w:t xml:space="preserve">Příspěvky státu </w:t>
      </w:r>
    </w:p>
    <w:p w:rsidR="00F46327" w:rsidRPr="00F46327" w:rsidRDefault="00F46327" w:rsidP="00F46327">
      <w:pPr>
        <w:spacing w:line="276" w:lineRule="auto"/>
        <w:ind w:left="2203"/>
        <w:jc w:val="both"/>
        <w:rPr>
          <w:rFonts w:asciiTheme="minorHAnsi" w:hAnsiTheme="minorHAnsi"/>
        </w:rPr>
      </w:pPr>
      <w:r w:rsidRPr="00F46327">
        <w:rPr>
          <w:rFonts w:asciiTheme="minorHAnsi" w:hAnsiTheme="minorHAnsi"/>
        </w:rPr>
        <w:lastRenderedPageBreak/>
        <w:t>Představují finance poskytnuté státem na činnost politické strany či jako úhrada volebních nákladů</w:t>
      </w:r>
    </w:p>
    <w:p w:rsidR="00F46327" w:rsidRPr="00F46327" w:rsidRDefault="00F46327" w:rsidP="00F46327">
      <w:pPr>
        <w:numPr>
          <w:ilvl w:val="5"/>
          <w:numId w:val="3"/>
        </w:numPr>
        <w:spacing w:line="276" w:lineRule="auto"/>
        <w:jc w:val="both"/>
        <w:rPr>
          <w:rFonts w:asciiTheme="minorHAnsi" w:hAnsiTheme="minorHAnsi"/>
        </w:rPr>
      </w:pPr>
      <w:r w:rsidRPr="00F46327">
        <w:rPr>
          <w:rFonts w:asciiTheme="minorHAnsi" w:hAnsiTheme="minorHAnsi"/>
        </w:rPr>
        <w:t xml:space="preserve"> logicky variují podle volebního/nevolebního roku </w:t>
      </w:r>
    </w:p>
    <w:p w:rsidR="00F46327" w:rsidRPr="00F46327" w:rsidRDefault="00F46327" w:rsidP="00F46327">
      <w:pPr>
        <w:numPr>
          <w:ilvl w:val="5"/>
          <w:numId w:val="3"/>
        </w:numPr>
        <w:spacing w:line="276" w:lineRule="auto"/>
        <w:jc w:val="both"/>
        <w:rPr>
          <w:rFonts w:asciiTheme="minorHAnsi" w:hAnsiTheme="minorHAnsi"/>
        </w:rPr>
      </w:pPr>
      <w:r w:rsidRPr="00F46327">
        <w:rPr>
          <w:rFonts w:asciiTheme="minorHAnsi" w:hAnsiTheme="minorHAnsi"/>
        </w:rPr>
        <w:t xml:space="preserve"> představují napříč politickým spektrem souhrnně kolem 40-50% příjmu politických stran</w:t>
      </w:r>
    </w:p>
    <w:p w:rsidR="00F46327" w:rsidRPr="00F46327" w:rsidRDefault="00F46327" w:rsidP="00F46327">
      <w:pPr>
        <w:numPr>
          <w:ilvl w:val="5"/>
          <w:numId w:val="3"/>
        </w:numPr>
        <w:spacing w:line="276" w:lineRule="auto"/>
        <w:jc w:val="both"/>
        <w:rPr>
          <w:rFonts w:asciiTheme="minorHAnsi" w:hAnsiTheme="minorHAnsi"/>
        </w:rPr>
      </w:pPr>
      <w:r w:rsidRPr="00F46327">
        <w:rPr>
          <w:rFonts w:asciiTheme="minorHAnsi" w:hAnsiTheme="minorHAnsi"/>
        </w:rPr>
        <w:t>např. za rok 2015 bylo stranám zasláno celkem 483 milion korun</w:t>
      </w:r>
      <w:r w:rsidRPr="00F46327">
        <w:rPr>
          <w:rStyle w:val="Znakapoznpodarou"/>
          <w:rFonts w:asciiTheme="minorHAnsi" w:hAnsiTheme="minorHAnsi"/>
        </w:rPr>
        <w:footnoteReference w:id="1"/>
      </w:r>
    </w:p>
    <w:p w:rsidR="00F46327" w:rsidRPr="00F46327" w:rsidRDefault="00F46327" w:rsidP="00F46327">
      <w:pPr>
        <w:numPr>
          <w:ilvl w:val="1"/>
          <w:numId w:val="3"/>
        </w:numPr>
        <w:spacing w:line="276" w:lineRule="auto"/>
        <w:jc w:val="both"/>
        <w:rPr>
          <w:rFonts w:asciiTheme="minorHAnsi" w:hAnsiTheme="minorHAnsi"/>
        </w:rPr>
      </w:pPr>
      <w:r w:rsidRPr="00F46327">
        <w:rPr>
          <w:rFonts w:asciiTheme="minorHAnsi" w:hAnsiTheme="minorHAnsi"/>
          <w:bCs/>
        </w:rPr>
        <w:t xml:space="preserve">Úvěry a půjčky </w:t>
      </w:r>
    </w:p>
    <w:p w:rsidR="00F46327" w:rsidRPr="00F46327" w:rsidRDefault="00F46327" w:rsidP="00F46327">
      <w:pPr>
        <w:numPr>
          <w:ilvl w:val="5"/>
          <w:numId w:val="3"/>
        </w:numPr>
        <w:spacing w:line="276" w:lineRule="auto"/>
        <w:jc w:val="both"/>
        <w:rPr>
          <w:rFonts w:asciiTheme="minorHAnsi" w:hAnsiTheme="minorHAnsi"/>
        </w:rPr>
      </w:pPr>
      <w:r w:rsidRPr="00F46327">
        <w:rPr>
          <w:rFonts w:asciiTheme="minorHAnsi" w:hAnsiTheme="minorHAnsi"/>
        </w:rPr>
        <w:t>finanční prostředky od finančních institucí i soukromých subjektů</w:t>
      </w:r>
    </w:p>
    <w:p w:rsidR="00F46327" w:rsidRPr="00F46327" w:rsidRDefault="00F46327" w:rsidP="00F46327">
      <w:pPr>
        <w:numPr>
          <w:ilvl w:val="5"/>
          <w:numId w:val="3"/>
        </w:numPr>
        <w:spacing w:line="276" w:lineRule="auto"/>
        <w:jc w:val="both"/>
        <w:rPr>
          <w:rFonts w:asciiTheme="minorHAnsi" w:hAnsiTheme="minorHAnsi"/>
        </w:rPr>
      </w:pPr>
      <w:r w:rsidRPr="00F46327">
        <w:rPr>
          <w:rFonts w:asciiTheme="minorHAnsi" w:hAnsiTheme="minorHAnsi"/>
        </w:rPr>
        <w:t>velké rozdíly mezi jednotlivými stranami (TOP09 minimum, ČSSD, ANO až 50%), v jednoduchém průměru se pohybují kolem 30%</w:t>
      </w:r>
    </w:p>
    <w:p w:rsidR="00F46327" w:rsidRPr="00F46327" w:rsidRDefault="00F46327" w:rsidP="00F46327">
      <w:pPr>
        <w:numPr>
          <w:ilvl w:val="1"/>
          <w:numId w:val="3"/>
        </w:numPr>
        <w:spacing w:line="276" w:lineRule="auto"/>
        <w:jc w:val="both"/>
        <w:rPr>
          <w:rFonts w:asciiTheme="minorHAnsi" w:hAnsiTheme="minorHAnsi"/>
        </w:rPr>
      </w:pPr>
      <w:r w:rsidRPr="00F46327">
        <w:rPr>
          <w:rFonts w:asciiTheme="minorHAnsi" w:hAnsiTheme="minorHAnsi"/>
          <w:bCs/>
        </w:rPr>
        <w:t>Dary</w:t>
      </w:r>
      <w:r w:rsidRPr="00F46327">
        <w:rPr>
          <w:rFonts w:asciiTheme="minorHAnsi" w:hAnsiTheme="minorHAnsi"/>
        </w:rPr>
        <w:t xml:space="preserve"> </w:t>
      </w:r>
      <w:r w:rsidRPr="00F46327">
        <w:rPr>
          <w:rFonts w:asciiTheme="minorHAnsi" w:hAnsiTheme="minorHAnsi"/>
        </w:rPr>
        <w:tab/>
      </w:r>
    </w:p>
    <w:p w:rsidR="00F46327" w:rsidRPr="00F46327" w:rsidRDefault="00F46327" w:rsidP="00F46327">
      <w:pPr>
        <w:numPr>
          <w:ilvl w:val="5"/>
          <w:numId w:val="3"/>
        </w:numPr>
        <w:spacing w:line="276" w:lineRule="auto"/>
        <w:jc w:val="both"/>
        <w:rPr>
          <w:rFonts w:asciiTheme="minorHAnsi" w:hAnsiTheme="minorHAnsi"/>
        </w:rPr>
      </w:pPr>
      <w:r w:rsidRPr="00F46327">
        <w:rPr>
          <w:rFonts w:asciiTheme="minorHAnsi" w:hAnsiTheme="minorHAnsi"/>
        </w:rPr>
        <w:t>od fyzických i právnických osob, pohybují se kolem 5 – 10% rozpočtu politické strany</w:t>
      </w: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Dary stranám - rizikové faktory</w:t>
      </w:r>
    </w:p>
    <w:p w:rsidR="00F46327" w:rsidRPr="00F46327" w:rsidRDefault="00F46327" w:rsidP="00F46327">
      <w:pPr>
        <w:spacing w:line="276" w:lineRule="auto"/>
        <w:ind w:left="720"/>
        <w:jc w:val="both"/>
        <w:rPr>
          <w:rFonts w:asciiTheme="minorHAnsi" w:hAnsiTheme="minorHAnsi"/>
        </w:rPr>
      </w:pPr>
    </w:p>
    <w:p w:rsidR="00F46327" w:rsidRPr="00F46327" w:rsidRDefault="00F46327" w:rsidP="00F46327">
      <w:pPr>
        <w:spacing w:line="276" w:lineRule="auto"/>
        <w:ind w:left="720"/>
        <w:jc w:val="both"/>
        <w:rPr>
          <w:rFonts w:asciiTheme="minorHAnsi" w:hAnsiTheme="minorHAnsi"/>
        </w:rPr>
      </w:pPr>
      <w:r w:rsidRPr="00F46327">
        <w:rPr>
          <w:rFonts w:asciiTheme="minorHAnsi" w:hAnsiTheme="minorHAnsi"/>
        </w:rPr>
        <w:t>Sponzoring politických stran je nejen mediálně nejzajímavějším aspektem financování politických subjektů, ale představuje tenký led z hlediska motivace donorů. Kromě nezištného podporování strany, se kterou dárce sdílí politické názory, může důvodem být i vliv na fungování politické strany či čisté „</w:t>
      </w:r>
      <w:proofErr w:type="spellStart"/>
      <w:r w:rsidRPr="00F46327">
        <w:rPr>
          <w:rFonts w:asciiTheme="minorHAnsi" w:hAnsiTheme="minorHAnsi"/>
        </w:rPr>
        <w:t>Quid</w:t>
      </w:r>
      <w:proofErr w:type="spellEnd"/>
      <w:r w:rsidRPr="00F46327">
        <w:rPr>
          <w:rFonts w:asciiTheme="minorHAnsi" w:hAnsiTheme="minorHAnsi"/>
        </w:rPr>
        <w:t xml:space="preserve"> Pro Quo“. V nedávno vydané analýze Centra aplikované ekonomie </w:t>
      </w:r>
      <w:proofErr w:type="gramStart"/>
      <w:r w:rsidRPr="00F46327">
        <w:rPr>
          <w:rFonts w:asciiTheme="minorHAnsi" w:hAnsiTheme="minorHAnsi"/>
        </w:rPr>
        <w:t>o.s.</w:t>
      </w:r>
      <w:proofErr w:type="gramEnd"/>
      <w:r w:rsidRPr="00F46327">
        <w:rPr>
          <w:rFonts w:asciiTheme="minorHAnsi" w:hAnsiTheme="minorHAnsi"/>
        </w:rPr>
        <w:t xml:space="preserve"> bylo zjištěno, že přes třetinu dárců, kteří zaslali dar politickým stranám, získalo veřejné zakázky. I proto je zásadní vznik kontrolního dozorového orgánu, který by mohl rizikové aspekty při darování lépe odhalit. </w:t>
      </w:r>
    </w:p>
    <w:p w:rsidR="00F46327" w:rsidRPr="00F46327" w:rsidRDefault="00F46327" w:rsidP="00F46327">
      <w:pPr>
        <w:spacing w:line="276" w:lineRule="auto"/>
        <w:ind w:left="720"/>
        <w:jc w:val="both"/>
        <w:rPr>
          <w:rFonts w:asciiTheme="minorHAnsi" w:hAnsiTheme="minorHAnsi"/>
        </w:rPr>
      </w:pPr>
    </w:p>
    <w:p w:rsidR="00F46327" w:rsidRPr="00F46327" w:rsidRDefault="00F46327" w:rsidP="00F46327">
      <w:pPr>
        <w:spacing w:line="276" w:lineRule="auto"/>
        <w:ind w:left="720"/>
        <w:jc w:val="both"/>
        <w:rPr>
          <w:rFonts w:asciiTheme="minorHAnsi" w:hAnsiTheme="minorHAnsi"/>
        </w:rPr>
      </w:pPr>
      <w:r w:rsidRPr="00F46327">
        <w:rPr>
          <w:rFonts w:asciiTheme="minorHAnsi" w:hAnsiTheme="minorHAnsi"/>
        </w:rPr>
        <w:t>Kromě motivace dárců jsou zde i nedostatky z hlediska obdarovaného. Nezřídka jsou některé dary „schované“ pod bílým koněm skutečného dárce, aby skutečný dárce nebyl zřejmý, popř. chybí v některých případech dostatek informací, podle kterých by bylo možné jednoznačně identifikovat dárce, a to jak z řad fyzických, tak i právnických osob.</w:t>
      </w: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ind w:left="720"/>
        <w:jc w:val="both"/>
        <w:rPr>
          <w:rFonts w:asciiTheme="minorHAnsi" w:hAnsiTheme="minorHAnsi"/>
        </w:rPr>
      </w:pPr>
      <w:r w:rsidRPr="00F46327">
        <w:rPr>
          <w:rFonts w:asciiTheme="minorHAnsi" w:hAnsiTheme="minorHAnsi"/>
        </w:rPr>
        <w:t>Při analyzování dárcovské stránky politického financování jsme vycházeli primárně z výročních zpráv politických stran a webového portálu Politickefinance.cz, který přehledně a komplexně ukazuje očištěné informací o financích největších politických stran. I na základě výše uvedeného webového projektu a s tím související studie</w:t>
      </w:r>
      <w:r w:rsidRPr="00F46327">
        <w:rPr>
          <w:rStyle w:val="Znakapoznpodarou"/>
          <w:rFonts w:asciiTheme="minorHAnsi" w:hAnsiTheme="minorHAnsi"/>
        </w:rPr>
        <w:footnoteReference w:id="2"/>
      </w:r>
      <w:r w:rsidRPr="00F46327">
        <w:rPr>
          <w:rFonts w:asciiTheme="minorHAnsi" w:hAnsiTheme="minorHAnsi"/>
        </w:rPr>
        <w:t xml:space="preserve"> byly </w:t>
      </w:r>
      <w:r w:rsidRPr="00F46327">
        <w:rPr>
          <w:rFonts w:asciiTheme="minorHAnsi" w:hAnsiTheme="minorHAnsi"/>
        </w:rPr>
        <w:lastRenderedPageBreak/>
        <w:t xml:space="preserve">vytyčeny a následně i doplněny rizikové faktory dárcovství politickým stranám, které podle nás aktuálně ovlivňují dárcovství politických stran. Tyto rizikové faktory jsou následně doplněny o příklady firem, které lze s pomocí primárních zdrojů nalézt. </w:t>
      </w:r>
    </w:p>
    <w:p w:rsidR="00F46327" w:rsidRPr="00F46327" w:rsidRDefault="00F46327" w:rsidP="00F46327">
      <w:pPr>
        <w:spacing w:line="276" w:lineRule="auto"/>
        <w:ind w:left="720"/>
        <w:jc w:val="both"/>
        <w:rPr>
          <w:rFonts w:asciiTheme="minorHAnsi" w:hAnsiTheme="minorHAnsi"/>
        </w:rPr>
      </w:pPr>
      <w:r w:rsidRPr="00F46327">
        <w:rPr>
          <w:rFonts w:asciiTheme="minorHAnsi" w:hAnsiTheme="minorHAnsi"/>
        </w:rPr>
        <w:t xml:space="preserve">Tyto příklady demonstrují, že vytyčené rizikové faktory v současné praxi existují, nikoliv, že všichni zmiňovaní dárci poskytli své finanční prostředky pro zajištění osobního prospěchu. </w:t>
      </w:r>
    </w:p>
    <w:p w:rsidR="00F46327" w:rsidRPr="00F46327" w:rsidRDefault="00F46327" w:rsidP="00F46327">
      <w:pPr>
        <w:spacing w:line="276" w:lineRule="auto"/>
        <w:ind w:left="720"/>
        <w:jc w:val="both"/>
        <w:rPr>
          <w:rFonts w:asciiTheme="minorHAnsi" w:hAnsiTheme="minorHAnsi"/>
        </w:rPr>
      </w:pP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Konkrétní rizikové faktory</w:t>
      </w:r>
    </w:p>
    <w:p w:rsidR="00F46327" w:rsidRPr="00F46327" w:rsidRDefault="00F46327" w:rsidP="00F46327">
      <w:pPr>
        <w:spacing w:line="276" w:lineRule="auto"/>
        <w:jc w:val="both"/>
        <w:rPr>
          <w:rFonts w:asciiTheme="minorHAnsi" w:hAnsiTheme="minorHAnsi"/>
        </w:rPr>
      </w:pPr>
    </w:p>
    <w:p w:rsidR="00F46327" w:rsidRPr="00F46327" w:rsidRDefault="00F46327" w:rsidP="00F46327">
      <w:pPr>
        <w:pStyle w:val="Nadpis4"/>
        <w:numPr>
          <w:ilvl w:val="0"/>
          <w:numId w:val="11"/>
        </w:numPr>
        <w:spacing w:line="276" w:lineRule="auto"/>
        <w:jc w:val="both"/>
        <w:rPr>
          <w:rFonts w:asciiTheme="minorHAnsi" w:hAnsiTheme="minorHAnsi"/>
          <w:sz w:val="24"/>
          <w:szCs w:val="24"/>
        </w:rPr>
      </w:pPr>
      <w:r w:rsidRPr="00F46327">
        <w:rPr>
          <w:rFonts w:asciiTheme="minorHAnsi" w:hAnsiTheme="minorHAnsi"/>
          <w:sz w:val="24"/>
          <w:szCs w:val="24"/>
        </w:rPr>
        <w:t>veřejné zakázky – dárci, kteří je získávají</w:t>
      </w:r>
    </w:p>
    <w:p w:rsidR="00F46327" w:rsidRPr="00F46327" w:rsidRDefault="00F46327" w:rsidP="00F46327">
      <w:pPr>
        <w:ind w:left="1416"/>
        <w:rPr>
          <w:rFonts w:asciiTheme="minorHAnsi" w:hAnsiTheme="minorHAnsi"/>
        </w:rPr>
      </w:pPr>
      <w:r w:rsidRPr="00F46327">
        <w:rPr>
          <w:rFonts w:asciiTheme="minorHAnsi" w:hAnsiTheme="minorHAnsi"/>
        </w:rPr>
        <w:t xml:space="preserve">Studie </w:t>
      </w:r>
      <w:proofErr w:type="spellStart"/>
      <w:r w:rsidR="00A13EAE">
        <w:rPr>
          <w:rFonts w:asciiTheme="minorHAnsi" w:hAnsiTheme="minorHAnsi"/>
        </w:rPr>
        <w:t>Econlab</w:t>
      </w:r>
      <w:proofErr w:type="spellEnd"/>
      <w:r w:rsidR="00A13EAE">
        <w:rPr>
          <w:rFonts w:asciiTheme="minorHAnsi" w:hAnsiTheme="minorHAnsi"/>
        </w:rPr>
        <w:t xml:space="preserve"> o. s.</w:t>
      </w:r>
      <w:r w:rsidRPr="00F46327">
        <w:rPr>
          <w:rFonts w:asciiTheme="minorHAnsi" w:hAnsiTheme="minorHAnsi"/>
        </w:rPr>
        <w:t xml:space="preserve"> analyzovala dárce politických stran od roku 2006. Z této analýzy</w:t>
      </w:r>
      <w:r w:rsidRPr="00F46327">
        <w:rPr>
          <w:rStyle w:val="Znakapoznpodarou"/>
          <w:rFonts w:asciiTheme="minorHAnsi" w:hAnsiTheme="minorHAnsi"/>
        </w:rPr>
        <w:footnoteReference w:id="3"/>
      </w:r>
      <w:r w:rsidRPr="00F46327">
        <w:rPr>
          <w:rFonts w:asciiTheme="minorHAnsi" w:hAnsiTheme="minorHAnsi"/>
        </w:rPr>
        <w:t xml:space="preserve"> vyplynulo, že 28% </w:t>
      </w:r>
      <w:proofErr w:type="spellStart"/>
      <w:r w:rsidRPr="00F46327">
        <w:rPr>
          <w:rFonts w:asciiTheme="minorHAnsi" w:hAnsiTheme="minorHAnsi"/>
        </w:rPr>
        <w:t>donorských</w:t>
      </w:r>
      <w:proofErr w:type="spellEnd"/>
      <w:r w:rsidRPr="00F46327">
        <w:rPr>
          <w:rFonts w:asciiTheme="minorHAnsi" w:hAnsiTheme="minorHAnsi"/>
        </w:rPr>
        <w:t xml:space="preserve"> firem ve sledovaném získalo také minimálně jednu veřejnou zakázku. Celkový souhrn těchto veřejných zakázek představuje finanční objem 390 miliard korun.</w:t>
      </w:r>
    </w:p>
    <w:p w:rsidR="00F46327" w:rsidRPr="00F46327" w:rsidRDefault="00F46327" w:rsidP="00F46327">
      <w:pPr>
        <w:numPr>
          <w:ilvl w:val="3"/>
          <w:numId w:val="4"/>
        </w:numPr>
        <w:spacing w:line="276" w:lineRule="auto"/>
        <w:jc w:val="both"/>
        <w:rPr>
          <w:rFonts w:asciiTheme="minorHAnsi" w:hAnsiTheme="minorHAnsi"/>
        </w:rPr>
      </w:pPr>
      <w:r w:rsidRPr="00F46327">
        <w:rPr>
          <w:rFonts w:asciiTheme="minorHAnsi" w:hAnsiTheme="minorHAnsi"/>
          <w:b/>
          <w:bCs/>
        </w:rPr>
        <w:t xml:space="preserve">ELTODO a.s. </w:t>
      </w:r>
      <w:r w:rsidRPr="00F46327">
        <w:rPr>
          <w:rFonts w:asciiTheme="minorHAnsi" w:hAnsiTheme="minorHAnsi"/>
        </w:rPr>
        <w:t xml:space="preserve">– vlastník správce veřejného osvětlení v Praze daroval </w:t>
      </w:r>
    </w:p>
    <w:p w:rsidR="00F46327" w:rsidRPr="00F46327" w:rsidRDefault="00F46327" w:rsidP="00F46327">
      <w:pPr>
        <w:spacing w:line="276" w:lineRule="auto"/>
        <w:ind w:left="2910" w:firstLine="630"/>
        <w:jc w:val="both"/>
        <w:rPr>
          <w:rFonts w:asciiTheme="minorHAnsi" w:hAnsiTheme="minorHAnsi"/>
        </w:rPr>
      </w:pPr>
      <w:r w:rsidRPr="00F46327">
        <w:rPr>
          <w:rFonts w:asciiTheme="minorHAnsi" w:hAnsiTheme="minorHAnsi"/>
        </w:rPr>
        <w:t>100 000Kč ČSSD v roce 2011, 30 000Kč hnutí ANO v 2015</w:t>
      </w:r>
    </w:p>
    <w:p w:rsidR="00F46327" w:rsidRPr="00F46327" w:rsidRDefault="00F46327" w:rsidP="00F46327">
      <w:pPr>
        <w:numPr>
          <w:ilvl w:val="3"/>
          <w:numId w:val="5"/>
        </w:numPr>
        <w:spacing w:line="276" w:lineRule="auto"/>
        <w:jc w:val="both"/>
        <w:rPr>
          <w:rFonts w:asciiTheme="minorHAnsi" w:hAnsiTheme="minorHAnsi"/>
        </w:rPr>
      </w:pPr>
      <w:r w:rsidRPr="00F46327">
        <w:rPr>
          <w:rFonts w:asciiTheme="minorHAnsi" w:hAnsiTheme="minorHAnsi"/>
          <w:b/>
          <w:bCs/>
        </w:rPr>
        <w:t>D-</w:t>
      </w:r>
      <w:proofErr w:type="spellStart"/>
      <w:r w:rsidRPr="00F46327">
        <w:rPr>
          <w:rFonts w:asciiTheme="minorHAnsi" w:hAnsiTheme="minorHAnsi"/>
          <w:b/>
          <w:bCs/>
        </w:rPr>
        <w:t>Pharm</w:t>
      </w:r>
      <w:proofErr w:type="spellEnd"/>
      <w:r w:rsidRPr="00F46327">
        <w:rPr>
          <w:rFonts w:asciiTheme="minorHAnsi" w:hAnsiTheme="minorHAnsi"/>
          <w:b/>
          <w:bCs/>
        </w:rPr>
        <w:t xml:space="preserve"> s.r.o. </w:t>
      </w:r>
      <w:r w:rsidRPr="00F46327">
        <w:rPr>
          <w:rFonts w:asciiTheme="minorHAnsi" w:hAnsiTheme="minorHAnsi"/>
        </w:rPr>
        <w:t xml:space="preserve">– prodejce léčiv daroval ODS v průběhu let 2012 – </w:t>
      </w:r>
      <w:proofErr w:type="gramStart"/>
      <w:r w:rsidRPr="00F46327">
        <w:rPr>
          <w:rFonts w:asciiTheme="minorHAnsi" w:hAnsiTheme="minorHAnsi"/>
        </w:rPr>
        <w:t>2013  celkem</w:t>
      </w:r>
      <w:proofErr w:type="gramEnd"/>
      <w:r w:rsidRPr="00F46327">
        <w:rPr>
          <w:rFonts w:asciiTheme="minorHAnsi" w:hAnsiTheme="minorHAnsi"/>
        </w:rPr>
        <w:t xml:space="preserve"> 7,75 milionů Kč</w:t>
      </w:r>
      <w:bookmarkStart w:id="0" w:name="_GoBack"/>
      <w:bookmarkEnd w:id="0"/>
    </w:p>
    <w:p w:rsidR="00F46327" w:rsidRPr="00F46327" w:rsidRDefault="00F46327" w:rsidP="00F46327">
      <w:pPr>
        <w:numPr>
          <w:ilvl w:val="3"/>
          <w:numId w:val="5"/>
        </w:numPr>
        <w:spacing w:line="276" w:lineRule="auto"/>
        <w:jc w:val="both"/>
        <w:rPr>
          <w:rFonts w:asciiTheme="minorHAnsi" w:hAnsiTheme="minorHAnsi"/>
        </w:rPr>
      </w:pPr>
      <w:r w:rsidRPr="00F46327">
        <w:rPr>
          <w:rFonts w:asciiTheme="minorHAnsi" w:hAnsiTheme="minorHAnsi"/>
          <w:b/>
          <w:bCs/>
        </w:rPr>
        <w:t xml:space="preserve">Silnice ČÁSLAV – HOLDING a.s. </w:t>
      </w:r>
      <w:r w:rsidRPr="00F46327">
        <w:rPr>
          <w:rFonts w:asciiTheme="minorHAnsi" w:hAnsiTheme="minorHAnsi"/>
        </w:rPr>
        <w:t>– donor ODS v letech 2006-2012 (vyjma roku 2008, kdy daroval 100 tisíc ČSSD)</w:t>
      </w:r>
    </w:p>
    <w:p w:rsidR="00F46327" w:rsidRPr="00F46327" w:rsidRDefault="00F46327" w:rsidP="00F46327">
      <w:pPr>
        <w:numPr>
          <w:ilvl w:val="3"/>
          <w:numId w:val="6"/>
        </w:numPr>
        <w:spacing w:line="276" w:lineRule="auto"/>
        <w:jc w:val="both"/>
        <w:rPr>
          <w:rFonts w:asciiTheme="minorHAnsi" w:hAnsiTheme="minorHAnsi"/>
        </w:rPr>
      </w:pPr>
      <w:r w:rsidRPr="00F46327">
        <w:rPr>
          <w:rFonts w:asciiTheme="minorHAnsi" w:hAnsiTheme="minorHAnsi"/>
          <w:b/>
          <w:bCs/>
        </w:rPr>
        <w:t>PSG International a.s.</w:t>
      </w:r>
      <w:r w:rsidRPr="00F46327">
        <w:rPr>
          <w:rFonts w:asciiTheme="minorHAnsi" w:hAnsiTheme="minorHAnsi"/>
        </w:rPr>
        <w:t xml:space="preserve"> – v letech 2010 daroval 2 mil. Kč ODS a 50 tis. Kč ČSSD, o dva roky později přispěl 50 tis Kč ČSSD</w:t>
      </w:r>
    </w:p>
    <w:p w:rsidR="00F46327" w:rsidRPr="00F46327" w:rsidRDefault="00F46327" w:rsidP="00F46327">
      <w:pPr>
        <w:numPr>
          <w:ilvl w:val="3"/>
          <w:numId w:val="7"/>
        </w:numPr>
        <w:tabs>
          <w:tab w:val="num" w:pos="2880"/>
        </w:tabs>
        <w:spacing w:line="276" w:lineRule="auto"/>
        <w:jc w:val="both"/>
        <w:rPr>
          <w:rFonts w:asciiTheme="minorHAnsi" w:hAnsiTheme="minorHAnsi"/>
        </w:rPr>
      </w:pPr>
      <w:r w:rsidRPr="00F46327">
        <w:rPr>
          <w:rFonts w:asciiTheme="minorHAnsi" w:hAnsiTheme="minorHAnsi"/>
          <w:b/>
          <w:bCs/>
        </w:rPr>
        <w:t>Ladislav Stříteský</w:t>
      </w:r>
      <w:r w:rsidRPr="00F46327">
        <w:rPr>
          <w:rFonts w:asciiTheme="minorHAnsi" w:hAnsiTheme="minorHAnsi"/>
        </w:rPr>
        <w:t xml:space="preserve"> daroval straně SPO 1 mil. Kč za zprostředkovaně nabízenou lukrativní veřejnou zakázku)</w:t>
      </w:r>
    </w:p>
    <w:p w:rsidR="00F46327" w:rsidRPr="00F46327" w:rsidRDefault="00F46327" w:rsidP="00F46327">
      <w:pPr>
        <w:pStyle w:val="Nadpis4"/>
        <w:numPr>
          <w:ilvl w:val="0"/>
          <w:numId w:val="11"/>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evropské dotace</w:t>
      </w:r>
    </w:p>
    <w:p w:rsidR="00F46327" w:rsidRPr="00F46327" w:rsidRDefault="00F46327" w:rsidP="00F46327">
      <w:pPr>
        <w:ind w:left="1416"/>
        <w:rPr>
          <w:rFonts w:asciiTheme="minorHAnsi" w:hAnsiTheme="minorHAnsi"/>
        </w:rPr>
      </w:pPr>
      <w:r w:rsidRPr="00F46327">
        <w:rPr>
          <w:rFonts w:asciiTheme="minorHAnsi" w:hAnsiTheme="minorHAnsi"/>
        </w:rPr>
        <w:t>Ačkoliv v této oblasti nebyla provedena detailní analýza, jako v případě veřejných zakázek, princip zisku veřejných financí zůstává stejný, ačkoliv je tento prostor omezenější a kontrolovanější než u veřejných zakázek.</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b/>
          <w:bCs/>
        </w:rPr>
        <w:t xml:space="preserve">DAKO-CZ a.s. </w:t>
      </w:r>
      <w:r w:rsidRPr="00F46327">
        <w:rPr>
          <w:rFonts w:asciiTheme="minorHAnsi" w:hAnsiTheme="minorHAnsi"/>
        </w:rPr>
        <w:t>- evropské dotace v hodnotě přesahující 70 milionů Kč</w:t>
      </w:r>
    </w:p>
    <w:p w:rsidR="00F46327" w:rsidRPr="00F46327" w:rsidRDefault="00F46327" w:rsidP="00F46327">
      <w:pPr>
        <w:spacing w:line="276" w:lineRule="auto"/>
        <w:ind w:left="2203"/>
        <w:jc w:val="both"/>
        <w:rPr>
          <w:rFonts w:asciiTheme="minorHAnsi" w:hAnsiTheme="minorHAnsi"/>
        </w:rPr>
      </w:pPr>
      <w:r w:rsidRPr="00F46327">
        <w:rPr>
          <w:rFonts w:asciiTheme="minorHAnsi" w:hAnsiTheme="minorHAnsi"/>
        </w:rPr>
        <w:tab/>
        <w:t xml:space="preserve">   - za roky 2013-2014 darovali straně SPO 3,5 milionu korun</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b/>
          <w:bCs/>
        </w:rPr>
        <w:t xml:space="preserve">AGROFERT a.s. </w:t>
      </w:r>
      <w:r w:rsidRPr="00F46327">
        <w:rPr>
          <w:rFonts w:asciiTheme="minorHAnsi" w:hAnsiTheme="minorHAnsi"/>
        </w:rPr>
        <w:t>– prostřednictvím dceřiných společností (</w:t>
      </w:r>
      <w:proofErr w:type="spellStart"/>
      <w:r w:rsidRPr="00F46327">
        <w:rPr>
          <w:rFonts w:asciiTheme="minorHAnsi" w:hAnsiTheme="minorHAnsi"/>
        </w:rPr>
        <w:t>Lovochemie</w:t>
      </w:r>
      <w:proofErr w:type="spellEnd"/>
      <w:r w:rsidRPr="00F46327">
        <w:rPr>
          <w:rFonts w:asciiTheme="minorHAnsi" w:hAnsiTheme="minorHAnsi"/>
        </w:rPr>
        <w:t>, Synthesia, a jiné)</w:t>
      </w:r>
    </w:p>
    <w:p w:rsidR="00F46327" w:rsidRPr="00F46327" w:rsidRDefault="00F46327" w:rsidP="00F46327">
      <w:pPr>
        <w:pStyle w:val="Nadpis4"/>
        <w:numPr>
          <w:ilvl w:val="0"/>
          <w:numId w:val="11"/>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daňový ráj/anonymní akcie</w:t>
      </w:r>
    </w:p>
    <w:p w:rsidR="00F46327" w:rsidRPr="00F46327" w:rsidRDefault="00F46327" w:rsidP="00F46327">
      <w:pPr>
        <w:ind w:left="1416"/>
        <w:rPr>
          <w:rFonts w:asciiTheme="minorHAnsi" w:hAnsiTheme="minorHAnsi"/>
        </w:rPr>
      </w:pPr>
      <w:r w:rsidRPr="00F46327">
        <w:rPr>
          <w:rFonts w:asciiTheme="minorHAnsi" w:hAnsiTheme="minorHAnsi"/>
        </w:rPr>
        <w:t>Neznalost konečného vlastníka znamená nejistotu, kdo je sponzorován veřejnými prostředky. Nejasným majetkovým strukturám se věnuje i čtvrtá směrnice EU proti praní špinavých peněz nebo současný návrh zákona o veřejných zakázkách.</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b/>
          <w:bCs/>
        </w:rPr>
        <w:t xml:space="preserve">FREKOMOS s.r.o. </w:t>
      </w:r>
      <w:r w:rsidRPr="00F46327">
        <w:rPr>
          <w:rFonts w:asciiTheme="minorHAnsi" w:hAnsiTheme="minorHAnsi"/>
        </w:rPr>
        <w:t>– dlouhodobý sponzor nejprve TOP09 a ODS s vlastníkem v Dánsku</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b/>
          <w:bCs/>
        </w:rPr>
        <w:lastRenderedPageBreak/>
        <w:t xml:space="preserve">Škoda JS a.s. </w:t>
      </w:r>
      <w:r w:rsidRPr="00F46327">
        <w:rPr>
          <w:rFonts w:asciiTheme="minorHAnsi" w:hAnsiTheme="minorHAnsi"/>
        </w:rPr>
        <w:t xml:space="preserve">– </w:t>
      </w:r>
      <w:proofErr w:type="spellStart"/>
      <w:r w:rsidRPr="00F46327">
        <w:rPr>
          <w:rFonts w:asciiTheme="minorHAnsi" w:hAnsiTheme="minorHAnsi"/>
        </w:rPr>
        <w:t>onshorový</w:t>
      </w:r>
      <w:proofErr w:type="spellEnd"/>
      <w:r w:rsidRPr="00F46327">
        <w:rPr>
          <w:rFonts w:asciiTheme="minorHAnsi" w:hAnsiTheme="minorHAnsi"/>
        </w:rPr>
        <w:t xml:space="preserve"> vlastník OMZ B. V., darovala v roce </w:t>
      </w:r>
      <w:proofErr w:type="gramStart"/>
      <w:r w:rsidRPr="00F46327">
        <w:rPr>
          <w:rFonts w:asciiTheme="minorHAnsi" w:hAnsiTheme="minorHAnsi"/>
        </w:rPr>
        <w:t>2014  hnutí</w:t>
      </w:r>
      <w:proofErr w:type="gramEnd"/>
      <w:r w:rsidRPr="00F46327">
        <w:rPr>
          <w:rFonts w:asciiTheme="minorHAnsi" w:hAnsiTheme="minorHAnsi"/>
        </w:rPr>
        <w:t xml:space="preserve"> ANO 100 000 Kč</w:t>
      </w:r>
    </w:p>
    <w:p w:rsidR="00F46327" w:rsidRPr="00F46327" w:rsidRDefault="00F46327" w:rsidP="00F46327">
      <w:pPr>
        <w:numPr>
          <w:ilvl w:val="3"/>
          <w:numId w:val="7"/>
        </w:numPr>
        <w:spacing w:line="276" w:lineRule="auto"/>
        <w:jc w:val="both"/>
        <w:rPr>
          <w:rFonts w:asciiTheme="minorHAnsi" w:hAnsiTheme="minorHAnsi"/>
        </w:rPr>
      </w:pPr>
      <w:proofErr w:type="spellStart"/>
      <w:r w:rsidRPr="00F46327">
        <w:rPr>
          <w:rFonts w:asciiTheme="minorHAnsi" w:hAnsiTheme="minorHAnsi"/>
          <w:b/>
          <w:bCs/>
        </w:rPr>
        <w:t>Kastelis</w:t>
      </w:r>
      <w:proofErr w:type="spellEnd"/>
      <w:r w:rsidRPr="00F46327">
        <w:rPr>
          <w:rFonts w:asciiTheme="minorHAnsi" w:hAnsiTheme="minorHAnsi"/>
        </w:rPr>
        <w:t xml:space="preserve"> – jeden z příkladů firem z daňového ráje sponzorující VV (strana s nejvíce </w:t>
      </w:r>
      <w:proofErr w:type="spellStart"/>
      <w:r w:rsidRPr="00F46327">
        <w:rPr>
          <w:rFonts w:asciiTheme="minorHAnsi" w:hAnsiTheme="minorHAnsi"/>
        </w:rPr>
        <w:t>offshorovými</w:t>
      </w:r>
      <w:proofErr w:type="spellEnd"/>
      <w:r w:rsidRPr="00F46327">
        <w:rPr>
          <w:rFonts w:asciiTheme="minorHAnsi" w:hAnsiTheme="minorHAnsi"/>
        </w:rPr>
        <w:t xml:space="preserve"> sponzory)</w:t>
      </w:r>
    </w:p>
    <w:p w:rsidR="00F46327" w:rsidRPr="00F46327" w:rsidRDefault="00F46327" w:rsidP="00F46327">
      <w:pPr>
        <w:pStyle w:val="Nadpis4"/>
        <w:numPr>
          <w:ilvl w:val="0"/>
          <w:numId w:val="11"/>
        </w:numPr>
        <w:spacing w:line="276" w:lineRule="auto"/>
        <w:jc w:val="both"/>
        <w:rPr>
          <w:rFonts w:asciiTheme="minorHAnsi" w:hAnsiTheme="minorHAnsi"/>
          <w:sz w:val="24"/>
          <w:szCs w:val="24"/>
        </w:rPr>
      </w:pPr>
      <w:r w:rsidRPr="00F46327">
        <w:rPr>
          <w:rFonts w:asciiTheme="minorHAnsi" w:hAnsiTheme="minorHAnsi"/>
          <w:color w:val="0070C0"/>
          <w:sz w:val="24"/>
          <w:szCs w:val="24"/>
        </w:rPr>
        <w:t>prázdná schránka, firmy bez činnosti, zaměstnanců</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rPr>
        <w:t>Nebezpečí sponzoringu vlivových skupin i „malá domů“. Jedná se o pouhého prostředníka mezi skutečným dárcem a darovanou stranou.</w:t>
      </w:r>
    </w:p>
    <w:p w:rsidR="00F46327" w:rsidRPr="00F46327" w:rsidRDefault="00F46327" w:rsidP="00F46327">
      <w:pPr>
        <w:pStyle w:val="Nadpis4"/>
        <w:numPr>
          <w:ilvl w:val="0"/>
          <w:numId w:val="11"/>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černé duše</w:t>
      </w:r>
    </w:p>
    <w:p w:rsidR="00F46327" w:rsidRPr="00F46327" w:rsidRDefault="00F46327" w:rsidP="00F46327">
      <w:pPr>
        <w:ind w:left="1416"/>
        <w:rPr>
          <w:rFonts w:asciiTheme="minorHAnsi" w:hAnsiTheme="minorHAnsi"/>
        </w:rPr>
      </w:pPr>
      <w:r w:rsidRPr="00F46327">
        <w:rPr>
          <w:rFonts w:asciiTheme="minorHAnsi" w:hAnsiTheme="minorHAnsi"/>
        </w:rPr>
        <w:t>Jde v principu o lidskou verzi prázdné schránky, kdy je jako dárce označena osoba, která ve skutečnosti tento dar neposkytla a slouží pouze jako tzv. „bílý kůň“ pro skutečného dárce, který se k daru nechce veřejně přiznat.</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rPr>
        <w:t xml:space="preserve">Simona </w:t>
      </w:r>
      <w:proofErr w:type="spellStart"/>
      <w:r w:rsidRPr="00F46327">
        <w:rPr>
          <w:rFonts w:asciiTheme="minorHAnsi" w:hAnsiTheme="minorHAnsi"/>
        </w:rPr>
        <w:t>Gajarská</w:t>
      </w:r>
      <w:proofErr w:type="spellEnd"/>
      <w:r w:rsidRPr="00F46327">
        <w:rPr>
          <w:rFonts w:asciiTheme="minorHAnsi" w:hAnsiTheme="minorHAnsi"/>
        </w:rPr>
        <w:t xml:space="preserve"> (kadeřnice s milionovým darem ODS v roce 2014)</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rPr>
        <w:t>falešní sponzoři z roku 2010 u SPO – důchodci, kteří údajně darovali straně, ale netušili o tom</w:t>
      </w:r>
    </w:p>
    <w:p w:rsidR="00F46327" w:rsidRPr="00F46327" w:rsidRDefault="00F46327" w:rsidP="00F46327">
      <w:pPr>
        <w:pStyle w:val="Nadpis4"/>
        <w:numPr>
          <w:ilvl w:val="0"/>
          <w:numId w:val="11"/>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spřízněné firmy</w:t>
      </w:r>
    </w:p>
    <w:p w:rsidR="00F46327" w:rsidRPr="00F46327" w:rsidRDefault="00F46327" w:rsidP="00F46327">
      <w:pPr>
        <w:ind w:left="1416"/>
        <w:rPr>
          <w:rFonts w:asciiTheme="minorHAnsi" w:hAnsiTheme="minorHAnsi"/>
        </w:rPr>
      </w:pPr>
      <w:r w:rsidRPr="00F46327">
        <w:rPr>
          <w:rFonts w:asciiTheme="minorHAnsi" w:hAnsiTheme="minorHAnsi"/>
        </w:rPr>
        <w:t xml:space="preserve">Firmy majetkově či jinak napojené na politika, které darem zvyšují svůj vliv na chod strany.  </w:t>
      </w:r>
    </w:p>
    <w:p w:rsidR="00F46327" w:rsidRPr="00F46327" w:rsidRDefault="00F46327" w:rsidP="00F46327">
      <w:pPr>
        <w:numPr>
          <w:ilvl w:val="3"/>
          <w:numId w:val="7"/>
        </w:numPr>
        <w:spacing w:line="276" w:lineRule="auto"/>
        <w:jc w:val="both"/>
        <w:rPr>
          <w:rFonts w:asciiTheme="minorHAnsi" w:hAnsiTheme="minorHAnsi"/>
        </w:rPr>
      </w:pPr>
      <w:r w:rsidRPr="00F46327">
        <w:rPr>
          <w:rFonts w:asciiTheme="minorHAnsi" w:hAnsiTheme="minorHAnsi"/>
          <w:b/>
          <w:bCs/>
        </w:rPr>
        <w:t xml:space="preserve">AGROFERT a.s. </w:t>
      </w:r>
      <w:r w:rsidRPr="00F46327">
        <w:rPr>
          <w:rFonts w:asciiTheme="minorHAnsi" w:hAnsiTheme="minorHAnsi"/>
        </w:rPr>
        <w:t>– dceřiné firmy dotují ANO</w:t>
      </w:r>
    </w:p>
    <w:p w:rsidR="00F46327" w:rsidRPr="00F46327" w:rsidRDefault="00F46327" w:rsidP="00F46327">
      <w:pPr>
        <w:numPr>
          <w:ilvl w:val="3"/>
          <w:numId w:val="7"/>
        </w:numPr>
        <w:spacing w:line="276" w:lineRule="auto"/>
        <w:jc w:val="both"/>
        <w:rPr>
          <w:rFonts w:asciiTheme="minorHAnsi" w:hAnsiTheme="minorHAnsi"/>
        </w:rPr>
      </w:pPr>
      <w:proofErr w:type="spellStart"/>
      <w:r w:rsidRPr="00F46327">
        <w:rPr>
          <w:rFonts w:asciiTheme="minorHAnsi" w:hAnsiTheme="minorHAnsi"/>
          <w:b/>
          <w:bCs/>
        </w:rPr>
        <w:t>Viamont</w:t>
      </w:r>
      <w:proofErr w:type="spellEnd"/>
      <w:r w:rsidRPr="00F46327">
        <w:rPr>
          <w:rFonts w:asciiTheme="minorHAnsi" w:hAnsiTheme="minorHAnsi"/>
        </w:rPr>
        <w:t xml:space="preserve"> (Aleš Řebíček) – v letech 2006 a 2008 sponzoroval ODS pokaždé nejméně 150 tisíci Kč </w:t>
      </w:r>
    </w:p>
    <w:p w:rsidR="00F46327" w:rsidRPr="00F46327" w:rsidRDefault="00F46327" w:rsidP="00F46327">
      <w:pPr>
        <w:numPr>
          <w:ilvl w:val="3"/>
          <w:numId w:val="7"/>
        </w:numPr>
        <w:spacing w:line="276" w:lineRule="auto"/>
        <w:jc w:val="both"/>
        <w:rPr>
          <w:rFonts w:asciiTheme="minorHAnsi" w:hAnsiTheme="minorHAnsi"/>
        </w:rPr>
      </w:pPr>
      <w:proofErr w:type="spellStart"/>
      <w:r w:rsidRPr="00F46327">
        <w:rPr>
          <w:rFonts w:asciiTheme="minorHAnsi" w:hAnsiTheme="minorHAnsi"/>
          <w:b/>
          <w:bCs/>
        </w:rPr>
        <w:t>Lukoil</w:t>
      </w:r>
      <w:proofErr w:type="spellEnd"/>
      <w:r w:rsidRPr="00F46327">
        <w:rPr>
          <w:rFonts w:asciiTheme="minorHAnsi" w:hAnsiTheme="minorHAnsi"/>
        </w:rPr>
        <w:t xml:space="preserve"> (Martin Nejedlý) – 400 000 Kč SPO v roce 2013</w:t>
      </w:r>
    </w:p>
    <w:p w:rsidR="00F46327" w:rsidRDefault="00F46327" w:rsidP="00F46327">
      <w:pPr>
        <w:rPr>
          <w:rFonts w:asciiTheme="minorHAnsi" w:hAnsiTheme="minorHAnsi"/>
        </w:rPr>
      </w:pPr>
    </w:p>
    <w:p w:rsidR="00F46327" w:rsidRPr="00F46327" w:rsidRDefault="00F46327" w:rsidP="00F46327">
      <w:pPr>
        <w:pStyle w:val="Odstavecseseznamem"/>
        <w:numPr>
          <w:ilvl w:val="0"/>
          <w:numId w:val="11"/>
        </w:numPr>
        <w:rPr>
          <w:color w:val="0070C0"/>
        </w:rPr>
      </w:pPr>
      <w:r w:rsidRPr="00F46327">
        <w:rPr>
          <w:color w:val="0070C0"/>
        </w:rPr>
        <w:t>Donor s majetkovou účastí státu</w:t>
      </w:r>
    </w:p>
    <w:p w:rsidR="00F46327" w:rsidRPr="00F46327" w:rsidRDefault="00F46327" w:rsidP="00F46327">
      <w:pPr>
        <w:ind w:left="1416"/>
        <w:rPr>
          <w:rFonts w:asciiTheme="minorHAnsi" w:hAnsiTheme="minorHAnsi"/>
        </w:rPr>
      </w:pPr>
      <w:r w:rsidRPr="00F46327">
        <w:rPr>
          <w:rFonts w:asciiTheme="minorHAnsi" w:hAnsiTheme="minorHAnsi"/>
        </w:rPr>
        <w:t>Firma s majetkovou účastí státu přestavuje další sponzorování politického subjektu veřejnými prostředky, které ale nepodléhá hlubší kontrole či odůvodnění darované částky.</w:t>
      </w:r>
    </w:p>
    <w:p w:rsidR="00F46327" w:rsidRPr="00F46327" w:rsidRDefault="00F46327" w:rsidP="00F46327">
      <w:pPr>
        <w:numPr>
          <w:ilvl w:val="3"/>
          <w:numId w:val="7"/>
        </w:numPr>
        <w:spacing w:line="276" w:lineRule="auto"/>
        <w:jc w:val="both"/>
        <w:rPr>
          <w:rFonts w:asciiTheme="minorHAnsi" w:hAnsiTheme="minorHAnsi"/>
        </w:rPr>
      </w:pPr>
      <w:proofErr w:type="spellStart"/>
      <w:r w:rsidRPr="00F46327">
        <w:rPr>
          <w:rFonts w:asciiTheme="minorHAnsi" w:hAnsiTheme="minorHAnsi"/>
          <w:b/>
          <w:bCs/>
        </w:rPr>
        <w:t>Technis</w:t>
      </w:r>
      <w:proofErr w:type="spellEnd"/>
      <w:r w:rsidRPr="00F46327">
        <w:rPr>
          <w:rFonts w:asciiTheme="minorHAnsi" w:hAnsiTheme="minorHAnsi"/>
          <w:b/>
          <w:bCs/>
        </w:rPr>
        <w:t xml:space="preserve"> Kojetín s.r.o. </w:t>
      </w:r>
      <w:r w:rsidRPr="00F46327">
        <w:rPr>
          <w:rFonts w:asciiTheme="minorHAnsi" w:hAnsiTheme="minorHAnsi"/>
        </w:rPr>
        <w:t>v letech 2006-2012 daroval ČSSD (tehdejší starosta) řádově několik tisíc korun</w:t>
      </w:r>
    </w:p>
    <w:p w:rsidR="00F46327" w:rsidRPr="00F46327" w:rsidRDefault="00F46327" w:rsidP="00F46327">
      <w:pPr>
        <w:spacing w:line="276" w:lineRule="auto"/>
        <w:ind w:left="2203"/>
        <w:jc w:val="both"/>
        <w:rPr>
          <w:rFonts w:asciiTheme="minorHAnsi" w:hAnsiTheme="minorHAnsi"/>
          <w:b/>
          <w:bCs/>
        </w:rPr>
      </w:pP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Kontroverzní praxe</w:t>
      </w:r>
    </w:p>
    <w:p w:rsidR="00F46327" w:rsidRPr="00F46327" w:rsidRDefault="00F46327" w:rsidP="00F46327">
      <w:pPr>
        <w:spacing w:line="276" w:lineRule="auto"/>
        <w:ind w:left="720"/>
        <w:jc w:val="both"/>
        <w:rPr>
          <w:rFonts w:asciiTheme="minorHAnsi" w:hAnsiTheme="minorHAnsi"/>
        </w:rPr>
      </w:pPr>
    </w:p>
    <w:p w:rsidR="00F46327" w:rsidRPr="00F46327" w:rsidRDefault="00F46327" w:rsidP="00F46327">
      <w:pPr>
        <w:spacing w:line="276" w:lineRule="auto"/>
        <w:ind w:left="720"/>
        <w:jc w:val="both"/>
        <w:rPr>
          <w:rFonts w:asciiTheme="minorHAnsi" w:hAnsiTheme="minorHAnsi"/>
        </w:rPr>
      </w:pPr>
      <w:r w:rsidRPr="00F46327">
        <w:rPr>
          <w:rFonts w:asciiTheme="minorHAnsi" w:hAnsiTheme="minorHAnsi"/>
        </w:rPr>
        <w:t>Některé z nalezených darů se svým způsobem provedení opakovaly napříč politickým spektrem. Tyto mechanismy představují nezvyklou praxi, která zasluhuje hlubší pozornost a vysvětlení. První tři příklady jsou tak významně zastoupeny, že zasluhují vlastní znázornění principu provedení.</w:t>
      </w:r>
    </w:p>
    <w:p w:rsidR="00F46327" w:rsidRPr="00F46327" w:rsidRDefault="00F46327" w:rsidP="00F46327">
      <w:pPr>
        <w:spacing w:line="276" w:lineRule="auto"/>
        <w:ind w:left="720"/>
        <w:jc w:val="both"/>
        <w:rPr>
          <w:rFonts w:asciiTheme="minorHAnsi" w:hAnsiTheme="minorHAnsi"/>
        </w:rPr>
      </w:pPr>
    </w:p>
    <w:p w:rsidR="00F46327" w:rsidRPr="00F46327" w:rsidRDefault="00F46327" w:rsidP="00F46327">
      <w:pPr>
        <w:pStyle w:val="Nadpis4"/>
        <w:numPr>
          <w:ilvl w:val="0"/>
          <w:numId w:val="12"/>
        </w:numPr>
        <w:spacing w:line="276" w:lineRule="auto"/>
        <w:jc w:val="both"/>
        <w:rPr>
          <w:rFonts w:asciiTheme="minorHAnsi" w:hAnsiTheme="minorHAnsi"/>
          <w:color w:val="0070C0"/>
          <w:sz w:val="24"/>
          <w:szCs w:val="24"/>
        </w:rPr>
      </w:pPr>
      <w:r w:rsidRPr="00F46327">
        <w:rPr>
          <w:rFonts w:asciiTheme="minorHAnsi" w:hAnsiTheme="minorHAnsi"/>
          <w:noProof/>
          <w:color w:val="0070C0"/>
          <w:sz w:val="24"/>
          <w:szCs w:val="24"/>
          <w:lang w:eastAsia="cs-CZ"/>
        </w:rPr>
        <w:lastRenderedPageBreak/>
        <w:drawing>
          <wp:anchor distT="0" distB="0" distL="114300" distR="114300" simplePos="0" relativeHeight="251659264" behindDoc="1" locked="0" layoutInCell="1" allowOverlap="1" wp14:anchorId="3D966846" wp14:editId="4E2B0EB6">
            <wp:simplePos x="0" y="0"/>
            <wp:positionH relativeFrom="column">
              <wp:posOffset>1150620</wp:posOffset>
            </wp:positionH>
            <wp:positionV relativeFrom="paragraph">
              <wp:posOffset>356870</wp:posOffset>
            </wp:positionV>
            <wp:extent cx="3330575" cy="1189990"/>
            <wp:effectExtent l="0" t="0" r="3175" b="0"/>
            <wp:wrapTopAndBottom/>
            <wp:docPr id="68"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Obrázek 6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575" cy="1189990"/>
                    </a:xfrm>
                    <a:prstGeom prst="rect">
                      <a:avLst/>
                    </a:prstGeom>
                  </pic:spPr>
                </pic:pic>
              </a:graphicData>
            </a:graphic>
            <wp14:sizeRelH relativeFrom="margin">
              <wp14:pctWidth>0</wp14:pctWidth>
            </wp14:sizeRelH>
            <wp14:sizeRelV relativeFrom="margin">
              <wp14:pctHeight>0</wp14:pctHeight>
            </wp14:sizeRelV>
          </wp:anchor>
        </w:drawing>
      </w:r>
      <w:r w:rsidRPr="00F46327">
        <w:rPr>
          <w:rFonts w:asciiTheme="minorHAnsi" w:hAnsiTheme="minorHAnsi"/>
          <w:color w:val="0070C0"/>
          <w:sz w:val="24"/>
          <w:szCs w:val="24"/>
        </w:rPr>
        <w:t>Kumulování darů od různých subjektů se stejným majitelem</w:t>
      </w:r>
    </w:p>
    <w:p w:rsidR="00F46327" w:rsidRPr="00F46327" w:rsidRDefault="00F46327" w:rsidP="00F46327">
      <w:pPr>
        <w:rPr>
          <w:rFonts w:asciiTheme="minorHAnsi" w:hAnsiTheme="minorHAnsi"/>
        </w:rPr>
      </w:pPr>
    </w:p>
    <w:p w:rsidR="00F46327" w:rsidRPr="00F46327" w:rsidRDefault="00F46327" w:rsidP="00F46327">
      <w:pPr>
        <w:ind w:left="1068"/>
        <w:rPr>
          <w:rFonts w:asciiTheme="minorHAnsi" w:hAnsiTheme="minorHAnsi"/>
        </w:rPr>
      </w:pPr>
      <w:r w:rsidRPr="00F46327">
        <w:rPr>
          <w:rFonts w:asciiTheme="minorHAnsi" w:hAnsiTheme="minorHAnsi"/>
          <w:b/>
          <w:bCs/>
        </w:rPr>
        <w:t xml:space="preserve">Lékárna u Rubínů </w:t>
      </w:r>
      <w:r w:rsidRPr="00F46327">
        <w:rPr>
          <w:rFonts w:asciiTheme="minorHAnsi" w:hAnsiTheme="minorHAnsi"/>
        </w:rPr>
        <w:t xml:space="preserve">a </w:t>
      </w:r>
      <w:r w:rsidRPr="00F46327">
        <w:rPr>
          <w:rFonts w:asciiTheme="minorHAnsi" w:hAnsiTheme="minorHAnsi"/>
          <w:b/>
          <w:bCs/>
        </w:rPr>
        <w:t>D-</w:t>
      </w:r>
      <w:proofErr w:type="spellStart"/>
      <w:r w:rsidRPr="00F46327">
        <w:rPr>
          <w:rFonts w:asciiTheme="minorHAnsi" w:hAnsiTheme="minorHAnsi"/>
          <w:b/>
          <w:bCs/>
        </w:rPr>
        <w:t>Pharm</w:t>
      </w:r>
      <w:proofErr w:type="spellEnd"/>
      <w:r w:rsidRPr="00F46327">
        <w:rPr>
          <w:rFonts w:asciiTheme="minorHAnsi" w:hAnsiTheme="minorHAnsi"/>
          <w:b/>
          <w:bCs/>
        </w:rPr>
        <w:t xml:space="preserve"> a.s.</w:t>
      </w:r>
      <w:r w:rsidRPr="00F46327">
        <w:rPr>
          <w:rFonts w:asciiTheme="minorHAnsi" w:hAnsiTheme="minorHAnsi"/>
        </w:rPr>
        <w:t xml:space="preserve"> mají nejen společnou adresu a společnou spolumajitelku, která sponzoruje stejnou stranu (2012 –2013 darovali dohromady necelých 13 milionů korun ODS)</w:t>
      </w:r>
    </w:p>
    <w:p w:rsidR="00F46327" w:rsidRPr="00F46327" w:rsidRDefault="00F46327" w:rsidP="00F46327">
      <w:pPr>
        <w:pStyle w:val="Nadpis4"/>
        <w:numPr>
          <w:ilvl w:val="0"/>
          <w:numId w:val="12"/>
        </w:numPr>
        <w:spacing w:line="276" w:lineRule="auto"/>
        <w:jc w:val="both"/>
        <w:rPr>
          <w:rFonts w:asciiTheme="minorHAnsi" w:hAnsiTheme="minorHAnsi"/>
          <w:sz w:val="24"/>
          <w:szCs w:val="24"/>
        </w:rPr>
      </w:pPr>
      <w:proofErr w:type="gramStart"/>
      <w:r w:rsidRPr="00F46327">
        <w:rPr>
          <w:rFonts w:asciiTheme="minorHAnsi" w:hAnsiTheme="minorHAnsi"/>
          <w:sz w:val="24"/>
          <w:szCs w:val="24"/>
        </w:rPr>
        <w:t>Kumulování</w:t>
      </w:r>
      <w:proofErr w:type="gramEnd"/>
      <w:r w:rsidRPr="00F46327">
        <w:rPr>
          <w:rFonts w:asciiTheme="minorHAnsi" w:hAnsiTheme="minorHAnsi"/>
          <w:sz w:val="24"/>
          <w:szCs w:val="24"/>
        </w:rPr>
        <w:t xml:space="preserve"> darů od stejných subjektů ve stejný </w:t>
      </w:r>
      <w:proofErr w:type="gramStart"/>
      <w:r w:rsidRPr="00F46327">
        <w:rPr>
          <w:rFonts w:asciiTheme="minorHAnsi" w:hAnsiTheme="minorHAnsi"/>
          <w:sz w:val="24"/>
          <w:szCs w:val="24"/>
        </w:rPr>
        <w:t>rok</w:t>
      </w:r>
      <w:proofErr w:type="gramEnd"/>
    </w:p>
    <w:p w:rsidR="00F46327" w:rsidRPr="00F46327" w:rsidRDefault="00F46327" w:rsidP="00F46327">
      <w:pPr>
        <w:rPr>
          <w:rFonts w:asciiTheme="minorHAnsi" w:hAnsiTheme="minorHAnsi"/>
        </w:rPr>
      </w:pPr>
      <w:r w:rsidRPr="00F46327">
        <w:rPr>
          <w:rFonts w:asciiTheme="minorHAnsi" w:hAnsiTheme="minorHAnsi"/>
          <w:noProof/>
        </w:rPr>
        <w:drawing>
          <wp:anchor distT="0" distB="0" distL="114300" distR="114300" simplePos="0" relativeHeight="251660288" behindDoc="0" locked="0" layoutInCell="1" allowOverlap="1" wp14:anchorId="64E02851" wp14:editId="0677A138">
            <wp:simplePos x="0" y="0"/>
            <wp:positionH relativeFrom="margin">
              <wp:align>center</wp:align>
            </wp:positionH>
            <wp:positionV relativeFrom="paragraph">
              <wp:posOffset>266337</wp:posOffset>
            </wp:positionV>
            <wp:extent cx="4025135" cy="1151613"/>
            <wp:effectExtent l="0" t="0" r="0" b="0"/>
            <wp:wrapTopAndBottom/>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5135" cy="1151613"/>
                    </a:xfrm>
                    <a:prstGeom prst="rect">
                      <a:avLst/>
                    </a:prstGeom>
                  </pic:spPr>
                </pic:pic>
              </a:graphicData>
            </a:graphic>
          </wp:anchor>
        </w:drawing>
      </w:r>
    </w:p>
    <w:p w:rsidR="00F46327" w:rsidRPr="00F46327" w:rsidRDefault="00F46327" w:rsidP="00F46327">
      <w:pPr>
        <w:rPr>
          <w:rFonts w:asciiTheme="minorHAnsi" w:hAnsiTheme="minorHAnsi"/>
        </w:rPr>
      </w:pPr>
    </w:p>
    <w:p w:rsidR="00F46327" w:rsidRPr="00F46327" w:rsidRDefault="00F46327" w:rsidP="00F46327">
      <w:pPr>
        <w:numPr>
          <w:ilvl w:val="1"/>
          <w:numId w:val="8"/>
        </w:numPr>
        <w:spacing w:line="276" w:lineRule="auto"/>
        <w:jc w:val="both"/>
        <w:rPr>
          <w:rFonts w:asciiTheme="minorHAnsi" w:hAnsiTheme="minorHAnsi"/>
        </w:rPr>
      </w:pPr>
      <w:proofErr w:type="spellStart"/>
      <w:r w:rsidRPr="00F46327">
        <w:rPr>
          <w:rFonts w:asciiTheme="minorHAnsi" w:hAnsiTheme="minorHAnsi"/>
          <w:b/>
          <w:bCs/>
        </w:rPr>
        <w:t>Technobal</w:t>
      </w:r>
      <w:proofErr w:type="spellEnd"/>
      <w:r w:rsidRPr="00F46327">
        <w:rPr>
          <w:rFonts w:asciiTheme="minorHAnsi" w:hAnsiTheme="minorHAnsi"/>
        </w:rPr>
        <w:t xml:space="preserve"> – duplicita darovaných částek v roce 2011 a 2012 (1,7 milionu korun) straně ODS</w:t>
      </w:r>
    </w:p>
    <w:p w:rsidR="00F46327" w:rsidRPr="00F46327" w:rsidRDefault="00F46327" w:rsidP="00F46327">
      <w:pPr>
        <w:numPr>
          <w:ilvl w:val="1"/>
          <w:numId w:val="8"/>
        </w:numPr>
        <w:spacing w:line="276" w:lineRule="auto"/>
        <w:jc w:val="both"/>
        <w:rPr>
          <w:rFonts w:asciiTheme="minorHAnsi" w:hAnsiTheme="minorHAnsi"/>
        </w:rPr>
      </w:pPr>
      <w:r w:rsidRPr="00F46327">
        <w:rPr>
          <w:rFonts w:asciiTheme="minorHAnsi" w:hAnsiTheme="minorHAnsi"/>
          <w:b/>
          <w:bCs/>
        </w:rPr>
        <w:t xml:space="preserve">Andrej Babiš </w:t>
      </w:r>
      <w:r w:rsidRPr="00F46327">
        <w:rPr>
          <w:rFonts w:asciiTheme="minorHAnsi" w:hAnsiTheme="minorHAnsi"/>
        </w:rPr>
        <w:t>– 13 darů v roce 2012 v rozmezí 500 000 – 8 000 000 Kč straně ANO</w:t>
      </w:r>
    </w:p>
    <w:p w:rsidR="00F46327" w:rsidRPr="00F46327" w:rsidRDefault="00F46327" w:rsidP="00F46327">
      <w:pPr>
        <w:numPr>
          <w:ilvl w:val="1"/>
          <w:numId w:val="8"/>
        </w:numPr>
        <w:spacing w:line="276" w:lineRule="auto"/>
        <w:jc w:val="both"/>
        <w:rPr>
          <w:rFonts w:asciiTheme="minorHAnsi" w:hAnsiTheme="minorHAnsi"/>
        </w:rPr>
      </w:pPr>
      <w:r w:rsidRPr="00F46327">
        <w:rPr>
          <w:rFonts w:asciiTheme="minorHAnsi" w:hAnsiTheme="minorHAnsi"/>
          <w:b/>
          <w:bCs/>
        </w:rPr>
        <w:t>Cíl, akciová společnost</w:t>
      </w:r>
      <w:r w:rsidRPr="00F46327">
        <w:rPr>
          <w:rFonts w:asciiTheme="minorHAnsi" w:hAnsiTheme="minorHAnsi"/>
        </w:rPr>
        <w:t>. – majoritní sponzor ČSSD, částky od půl milionu až po 11 milionů Kč několikrát ročně (i historicky)</w:t>
      </w:r>
    </w:p>
    <w:p w:rsidR="00F46327" w:rsidRDefault="00F46327" w:rsidP="00F46327">
      <w:pPr>
        <w:numPr>
          <w:ilvl w:val="1"/>
          <w:numId w:val="8"/>
        </w:numPr>
        <w:spacing w:line="276" w:lineRule="auto"/>
        <w:jc w:val="both"/>
        <w:rPr>
          <w:rFonts w:asciiTheme="minorHAnsi" w:hAnsiTheme="minorHAnsi"/>
        </w:rPr>
      </w:pPr>
      <w:proofErr w:type="spellStart"/>
      <w:r w:rsidRPr="00F46327">
        <w:rPr>
          <w:rFonts w:asciiTheme="minorHAnsi" w:hAnsiTheme="minorHAnsi"/>
          <w:b/>
          <w:bCs/>
        </w:rPr>
        <w:t>Promoprodukce</w:t>
      </w:r>
      <w:proofErr w:type="spellEnd"/>
      <w:r w:rsidRPr="00F46327">
        <w:rPr>
          <w:rFonts w:asciiTheme="minorHAnsi" w:hAnsiTheme="minorHAnsi"/>
          <w:b/>
          <w:bCs/>
        </w:rPr>
        <w:t xml:space="preserve"> a.s. </w:t>
      </w:r>
      <w:r w:rsidRPr="00F46327">
        <w:rPr>
          <w:rFonts w:asciiTheme="minorHAnsi" w:hAnsiTheme="minorHAnsi"/>
        </w:rPr>
        <w:t xml:space="preserve">– rekordman celkového počtu darů, spolu se svou </w:t>
      </w:r>
      <w:proofErr w:type="spellStart"/>
      <w:r w:rsidRPr="00F46327">
        <w:rPr>
          <w:rFonts w:asciiTheme="minorHAnsi" w:hAnsiTheme="minorHAnsi"/>
        </w:rPr>
        <w:t>subfirmou</w:t>
      </w:r>
      <w:proofErr w:type="spellEnd"/>
      <w:r w:rsidRPr="00F46327">
        <w:rPr>
          <w:rFonts w:asciiTheme="minorHAnsi" w:hAnsiTheme="minorHAnsi"/>
        </w:rPr>
        <w:t xml:space="preserve"> darovali v roce 2011 celkem 19x částky variující od 100 000 do 300 000 Kč Věcem Veřejným</w:t>
      </w:r>
    </w:p>
    <w:p w:rsidR="00F46327" w:rsidRPr="00F46327" w:rsidRDefault="00F46327" w:rsidP="00F46327">
      <w:pPr>
        <w:spacing w:line="276" w:lineRule="auto"/>
        <w:ind w:left="1440"/>
        <w:jc w:val="both"/>
        <w:rPr>
          <w:rFonts w:asciiTheme="minorHAnsi" w:hAnsiTheme="minorHAnsi"/>
        </w:rPr>
      </w:pPr>
    </w:p>
    <w:p w:rsidR="00F46327" w:rsidRPr="00F46327" w:rsidRDefault="00F46327" w:rsidP="00F46327">
      <w:pPr>
        <w:pStyle w:val="Nadpis4"/>
        <w:numPr>
          <w:ilvl w:val="0"/>
          <w:numId w:val="8"/>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Sponzorské dary strany vůči straně</w:t>
      </w:r>
    </w:p>
    <w:p w:rsidR="00F46327" w:rsidRPr="00F46327" w:rsidRDefault="00F46327" w:rsidP="00F46327">
      <w:pPr>
        <w:rPr>
          <w:rFonts w:asciiTheme="minorHAnsi" w:hAnsiTheme="minorHAnsi"/>
        </w:rPr>
      </w:pPr>
      <w:r w:rsidRPr="00F46327">
        <w:rPr>
          <w:rFonts w:asciiTheme="minorHAnsi" w:hAnsiTheme="minorHAnsi"/>
          <w:noProof/>
        </w:rPr>
        <w:drawing>
          <wp:anchor distT="0" distB="0" distL="114300" distR="114300" simplePos="0" relativeHeight="251661312" behindDoc="0" locked="0" layoutInCell="1" allowOverlap="1" wp14:anchorId="36708323" wp14:editId="1563AC7C">
            <wp:simplePos x="0" y="0"/>
            <wp:positionH relativeFrom="margin">
              <wp:align>center</wp:align>
            </wp:positionH>
            <wp:positionV relativeFrom="paragraph">
              <wp:posOffset>302985</wp:posOffset>
            </wp:positionV>
            <wp:extent cx="3182157" cy="617605"/>
            <wp:effectExtent l="0" t="0" r="0" b="0"/>
            <wp:wrapTopAndBottom/>
            <wp:docPr id="70"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Obrázek 6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2157" cy="617605"/>
                    </a:xfrm>
                    <a:prstGeom prst="rect">
                      <a:avLst/>
                    </a:prstGeom>
                  </pic:spPr>
                </pic:pic>
              </a:graphicData>
            </a:graphic>
          </wp:anchor>
        </w:drawing>
      </w:r>
    </w:p>
    <w:p w:rsidR="00F46327" w:rsidRPr="00F46327" w:rsidRDefault="00F46327" w:rsidP="00F46327">
      <w:pPr>
        <w:rPr>
          <w:rFonts w:asciiTheme="minorHAnsi" w:hAnsiTheme="minorHAnsi"/>
        </w:rPr>
      </w:pPr>
    </w:p>
    <w:p w:rsidR="00F46327" w:rsidRPr="00F46327" w:rsidRDefault="00F46327" w:rsidP="00F46327">
      <w:pPr>
        <w:numPr>
          <w:ilvl w:val="1"/>
          <w:numId w:val="9"/>
        </w:numPr>
        <w:spacing w:line="276" w:lineRule="auto"/>
        <w:jc w:val="both"/>
        <w:rPr>
          <w:rFonts w:asciiTheme="minorHAnsi" w:hAnsiTheme="minorHAnsi"/>
        </w:rPr>
      </w:pPr>
      <w:r w:rsidRPr="00F46327">
        <w:rPr>
          <w:rFonts w:asciiTheme="minorHAnsi" w:hAnsiTheme="minorHAnsi"/>
          <w:b/>
          <w:bCs/>
        </w:rPr>
        <w:t xml:space="preserve">TOP09 a Starostové </w:t>
      </w:r>
      <w:r w:rsidRPr="00F46327">
        <w:rPr>
          <w:rFonts w:asciiTheme="minorHAnsi" w:hAnsiTheme="minorHAnsi"/>
        </w:rPr>
        <w:t>– převod milionových částek mezi oběma stranami (z Obecního úřadu Suché Loze)</w:t>
      </w:r>
    </w:p>
    <w:p w:rsidR="00F46327" w:rsidRPr="00F46327" w:rsidRDefault="00F46327" w:rsidP="00F46327">
      <w:pPr>
        <w:numPr>
          <w:ilvl w:val="1"/>
          <w:numId w:val="9"/>
        </w:numPr>
        <w:spacing w:line="276" w:lineRule="auto"/>
        <w:jc w:val="both"/>
        <w:rPr>
          <w:rFonts w:asciiTheme="minorHAnsi" w:hAnsiTheme="minorHAnsi"/>
        </w:rPr>
      </w:pPr>
      <w:r w:rsidRPr="00F46327">
        <w:rPr>
          <w:rFonts w:asciiTheme="minorHAnsi" w:hAnsiTheme="minorHAnsi"/>
          <w:b/>
          <w:bCs/>
        </w:rPr>
        <w:t xml:space="preserve">Východočeši a ANO </w:t>
      </w:r>
      <w:r w:rsidRPr="00F46327">
        <w:rPr>
          <w:rFonts w:asciiTheme="minorHAnsi" w:hAnsiTheme="minorHAnsi"/>
        </w:rPr>
        <w:t>– převod více než 800 tisíc korun na účet ANO, přestože deklarovali nedostatek financí</w:t>
      </w:r>
    </w:p>
    <w:p w:rsidR="00F46327" w:rsidRPr="00F46327" w:rsidRDefault="00F46327" w:rsidP="00F46327">
      <w:pPr>
        <w:pStyle w:val="Nadpis4"/>
        <w:numPr>
          <w:ilvl w:val="0"/>
          <w:numId w:val="13"/>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lastRenderedPageBreak/>
        <w:t xml:space="preserve">firmy vlastněné stranou (průtokové ohřívače) </w:t>
      </w:r>
    </w:p>
    <w:p w:rsidR="00F46327" w:rsidRPr="00F46327" w:rsidRDefault="00F46327" w:rsidP="00F46327">
      <w:pPr>
        <w:spacing w:line="276" w:lineRule="auto"/>
        <w:ind w:left="1440"/>
        <w:jc w:val="both"/>
        <w:rPr>
          <w:rFonts w:asciiTheme="minorHAnsi" w:hAnsiTheme="minorHAnsi"/>
        </w:rPr>
      </w:pPr>
      <w:r w:rsidRPr="00F46327">
        <w:rPr>
          <w:rFonts w:asciiTheme="minorHAnsi" w:hAnsiTheme="minorHAnsi"/>
        </w:rPr>
        <w:t xml:space="preserve">Nejmarkantnější </w:t>
      </w:r>
      <w:proofErr w:type="gramStart"/>
      <w:r w:rsidRPr="00F46327">
        <w:rPr>
          <w:rFonts w:asciiTheme="minorHAnsi" w:hAnsiTheme="minorHAnsi"/>
        </w:rPr>
        <w:t xml:space="preserve">je  </w:t>
      </w:r>
      <w:r w:rsidRPr="00F46327">
        <w:rPr>
          <w:rFonts w:asciiTheme="minorHAnsi" w:hAnsiTheme="minorHAnsi"/>
          <w:b/>
        </w:rPr>
        <w:t>Cíl</w:t>
      </w:r>
      <w:proofErr w:type="gramEnd"/>
      <w:r w:rsidRPr="00F46327">
        <w:rPr>
          <w:rFonts w:asciiTheme="minorHAnsi" w:hAnsiTheme="minorHAnsi"/>
          <w:b/>
        </w:rPr>
        <w:t>, akciová společnost</w:t>
      </w:r>
      <w:r w:rsidRPr="00F46327">
        <w:rPr>
          <w:rFonts w:asciiTheme="minorHAnsi" w:hAnsiTheme="minorHAnsi"/>
        </w:rPr>
        <w:t>, firma založená a 100% vlastněná ČSSD, která je zároveň jejím největším sponzorem</w:t>
      </w:r>
    </w:p>
    <w:p w:rsidR="00F46327" w:rsidRPr="00F46327" w:rsidRDefault="00F46327" w:rsidP="00F46327">
      <w:pPr>
        <w:pStyle w:val="Nadpis4"/>
        <w:numPr>
          <w:ilvl w:val="0"/>
          <w:numId w:val="13"/>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přiznaná investice</w:t>
      </w:r>
    </w:p>
    <w:p w:rsidR="00F46327" w:rsidRPr="00F46327" w:rsidRDefault="00F46327" w:rsidP="00F46327">
      <w:pPr>
        <w:spacing w:line="276" w:lineRule="auto"/>
        <w:ind w:left="1440"/>
        <w:jc w:val="both"/>
        <w:rPr>
          <w:rFonts w:asciiTheme="minorHAnsi" w:hAnsiTheme="minorHAnsi"/>
        </w:rPr>
      </w:pPr>
      <w:r w:rsidRPr="00F46327">
        <w:rPr>
          <w:rFonts w:asciiTheme="minorHAnsi" w:hAnsiTheme="minorHAnsi"/>
          <w:b/>
        </w:rPr>
        <w:t>Ladislav Stříteský</w:t>
      </w:r>
      <w:r w:rsidRPr="00F46327">
        <w:rPr>
          <w:rFonts w:asciiTheme="minorHAnsi" w:hAnsiTheme="minorHAnsi"/>
        </w:rPr>
        <w:t xml:space="preserve"> daroval milion korun SPO poté, co mu bylo přítelem sděleno, že by za dárcovství měl získat významnou veřejnou zakázku. </w:t>
      </w:r>
    </w:p>
    <w:p w:rsidR="00F46327" w:rsidRPr="00F46327" w:rsidRDefault="00F46327" w:rsidP="00F46327">
      <w:pPr>
        <w:pStyle w:val="Nadpis4"/>
        <w:numPr>
          <w:ilvl w:val="0"/>
          <w:numId w:val="13"/>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osoby stíhané či napojené na výnosy z trestné činnosti</w:t>
      </w:r>
    </w:p>
    <w:p w:rsidR="00F46327" w:rsidRPr="00F46327" w:rsidRDefault="00F46327" w:rsidP="00F46327">
      <w:pPr>
        <w:pStyle w:val="Nadpis4"/>
        <w:spacing w:line="276" w:lineRule="auto"/>
        <w:ind w:left="1416"/>
        <w:jc w:val="both"/>
        <w:rPr>
          <w:rFonts w:asciiTheme="minorHAnsi" w:hAnsiTheme="minorHAnsi"/>
          <w:sz w:val="24"/>
          <w:szCs w:val="24"/>
        </w:rPr>
      </w:pPr>
      <w:r w:rsidRPr="00F46327">
        <w:rPr>
          <w:rFonts w:asciiTheme="minorHAnsi" w:eastAsiaTheme="minorHAnsi" w:hAnsiTheme="minorHAnsi" w:cstheme="minorBidi"/>
          <w:b/>
          <w:i w:val="0"/>
          <w:iCs w:val="0"/>
          <w:color w:val="auto"/>
          <w:sz w:val="24"/>
          <w:szCs w:val="24"/>
        </w:rPr>
        <w:t>Zbyněk Fabík</w:t>
      </w:r>
      <w:r w:rsidRPr="00F46327">
        <w:rPr>
          <w:rFonts w:asciiTheme="minorHAnsi" w:eastAsiaTheme="minorHAnsi" w:hAnsiTheme="minorHAnsi" w:cstheme="minorBidi"/>
          <w:i w:val="0"/>
          <w:iCs w:val="0"/>
          <w:color w:val="auto"/>
          <w:sz w:val="24"/>
          <w:szCs w:val="24"/>
        </w:rPr>
        <w:t>, který měl podle médií vylákat 150 milionů korun z České spořitelny, daroval milion SPO a 300 tisíc korun TOP09, ale sám byl v té době již v insolvenci.</w:t>
      </w:r>
    </w:p>
    <w:p w:rsidR="00F46327" w:rsidRPr="00F46327" w:rsidRDefault="00F46327" w:rsidP="00F46327">
      <w:pPr>
        <w:pStyle w:val="Nadpis4"/>
        <w:numPr>
          <w:ilvl w:val="0"/>
          <w:numId w:val="13"/>
        </w:numPr>
        <w:spacing w:line="276" w:lineRule="auto"/>
        <w:jc w:val="both"/>
        <w:rPr>
          <w:rFonts w:asciiTheme="minorHAnsi" w:hAnsiTheme="minorHAnsi"/>
          <w:color w:val="0070C0"/>
          <w:sz w:val="24"/>
          <w:szCs w:val="24"/>
        </w:rPr>
      </w:pPr>
      <w:r w:rsidRPr="00F46327">
        <w:rPr>
          <w:rFonts w:asciiTheme="minorHAnsi" w:hAnsiTheme="minorHAnsi"/>
          <w:color w:val="0070C0"/>
          <w:sz w:val="24"/>
          <w:szCs w:val="24"/>
        </w:rPr>
        <w:t>Nefinanční příspěvky – zvláštnosti (kuriozity?)</w:t>
      </w:r>
    </w:p>
    <w:p w:rsidR="00F46327" w:rsidRPr="00F46327" w:rsidRDefault="00F46327" w:rsidP="00F46327">
      <w:pPr>
        <w:numPr>
          <w:ilvl w:val="1"/>
          <w:numId w:val="9"/>
        </w:numPr>
        <w:spacing w:line="276" w:lineRule="auto"/>
        <w:jc w:val="both"/>
        <w:rPr>
          <w:rFonts w:asciiTheme="minorHAnsi" w:hAnsiTheme="minorHAnsi"/>
        </w:rPr>
      </w:pPr>
      <w:r w:rsidRPr="00F46327">
        <w:rPr>
          <w:rFonts w:asciiTheme="minorHAnsi" w:hAnsiTheme="minorHAnsi"/>
          <w:b/>
        </w:rPr>
        <w:t>Galaktická agentura s.r.o.</w:t>
      </w:r>
      <w:r w:rsidRPr="00F46327">
        <w:rPr>
          <w:rFonts w:asciiTheme="minorHAnsi" w:hAnsiTheme="minorHAnsi"/>
        </w:rPr>
        <w:t xml:space="preserve"> společnost „prodávající pozemky na Měsíci“ poskytla hnutí ANO v roce 2012 nefinanční dar neznámé výše.</w:t>
      </w:r>
    </w:p>
    <w:p w:rsidR="00F46327" w:rsidRPr="00F46327" w:rsidRDefault="00F46327" w:rsidP="00F46327">
      <w:pPr>
        <w:numPr>
          <w:ilvl w:val="1"/>
          <w:numId w:val="9"/>
        </w:numPr>
        <w:spacing w:line="276" w:lineRule="auto"/>
        <w:jc w:val="both"/>
        <w:rPr>
          <w:rFonts w:asciiTheme="minorHAnsi" w:hAnsiTheme="minorHAnsi"/>
        </w:rPr>
      </w:pPr>
      <w:r w:rsidRPr="00F46327">
        <w:rPr>
          <w:rFonts w:asciiTheme="minorHAnsi" w:hAnsiTheme="minorHAnsi"/>
          <w:b/>
        </w:rPr>
        <w:t>SPO</w:t>
      </w:r>
      <w:r w:rsidRPr="00F46327">
        <w:rPr>
          <w:rFonts w:asciiTheme="minorHAnsi" w:hAnsiTheme="minorHAnsi"/>
        </w:rPr>
        <w:t xml:space="preserve"> – nezamýšlený nefinanční dar TOP09 za uveřejnění Osoby M. Kalouska na billboardech SPO, který si TOP09 vyfakturovala ve své výroční zprávě.</w:t>
      </w:r>
    </w:p>
    <w:p w:rsidR="00F46327" w:rsidRPr="00F46327" w:rsidRDefault="00F46327" w:rsidP="00F46327">
      <w:pPr>
        <w:pStyle w:val="Nadpis2"/>
        <w:jc w:val="both"/>
        <w:rPr>
          <w:rFonts w:asciiTheme="minorHAnsi" w:hAnsiTheme="minorHAnsi"/>
          <w:color w:val="0070C0"/>
          <w:sz w:val="24"/>
          <w:szCs w:val="24"/>
        </w:rPr>
      </w:pPr>
      <w:r w:rsidRPr="00F46327">
        <w:rPr>
          <w:rFonts w:asciiTheme="minorHAnsi" w:hAnsiTheme="minorHAnsi"/>
          <w:color w:val="0070C0"/>
          <w:sz w:val="24"/>
          <w:szCs w:val="24"/>
        </w:rPr>
        <w:t>Financování hnutí ANO – nový hráč na politickém trhu</w:t>
      </w:r>
    </w:p>
    <w:p w:rsidR="00F46327" w:rsidRPr="00F46327" w:rsidRDefault="00F46327" w:rsidP="00F46327">
      <w:pPr>
        <w:spacing w:line="276" w:lineRule="auto"/>
        <w:jc w:val="both"/>
        <w:rPr>
          <w:rFonts w:asciiTheme="minorHAnsi" w:hAnsiTheme="minorHAnsi"/>
        </w:rPr>
      </w:pPr>
    </w:p>
    <w:p w:rsidR="00F46327" w:rsidRPr="00F46327" w:rsidRDefault="00F46327" w:rsidP="00F46327">
      <w:pPr>
        <w:pStyle w:val="Odstavecseseznamem"/>
        <w:spacing w:line="276" w:lineRule="auto"/>
        <w:ind w:left="360"/>
        <w:jc w:val="both"/>
      </w:pPr>
      <w:r w:rsidRPr="00F46327">
        <w:t xml:space="preserve">Politické hnutí ANO datuje svoje aktivity od roku 2011. S ohledem na dlouholeté fungování dalších politických stran jsme si toto hnutí vybrali jako příklad nově vzniklého relevantního politického subjektu a zkoumali jsme, jestli lze nalézt příklady, potvrzující, že i nově vzniklé politické subjekty mají v oblasti financování stejné problémy a rizikové oblasti jako strany již zaběhlé.  </w:t>
      </w:r>
    </w:p>
    <w:p w:rsidR="00F46327" w:rsidRPr="00F46327" w:rsidRDefault="00F46327" w:rsidP="00F46327">
      <w:pPr>
        <w:pStyle w:val="Odstavecseseznamem"/>
        <w:spacing w:line="276" w:lineRule="auto"/>
        <w:ind w:left="360"/>
        <w:jc w:val="both"/>
      </w:pPr>
    </w:p>
    <w:p w:rsidR="00F46327" w:rsidRPr="00F46327" w:rsidRDefault="00F46327" w:rsidP="00F46327">
      <w:pPr>
        <w:pStyle w:val="Nadpis3"/>
        <w:spacing w:line="276" w:lineRule="auto"/>
        <w:jc w:val="both"/>
        <w:rPr>
          <w:rStyle w:val="Nadpis4Char"/>
          <w:rFonts w:asciiTheme="minorHAnsi" w:hAnsiTheme="minorHAnsi"/>
          <w:i w:val="0"/>
          <w:iCs w:val="0"/>
          <w:color w:val="0070C0"/>
        </w:rPr>
      </w:pPr>
      <w:r w:rsidRPr="00F46327">
        <w:rPr>
          <w:rStyle w:val="Nadpis4Char"/>
          <w:rFonts w:asciiTheme="minorHAnsi" w:hAnsiTheme="minorHAnsi"/>
          <w:color w:val="0070C0"/>
        </w:rPr>
        <w:t>Financování hnutí ANO</w:t>
      </w:r>
    </w:p>
    <w:p w:rsidR="00F46327" w:rsidRPr="00F46327" w:rsidRDefault="00F46327" w:rsidP="00F46327">
      <w:pPr>
        <w:rPr>
          <w:rFonts w:asciiTheme="minorHAnsi" w:hAnsiTheme="minorHAnsi"/>
        </w:rPr>
      </w:pPr>
    </w:p>
    <w:p w:rsidR="00F46327" w:rsidRPr="00F46327" w:rsidRDefault="00F46327" w:rsidP="00F46327">
      <w:pPr>
        <w:jc w:val="center"/>
        <w:rPr>
          <w:rFonts w:asciiTheme="minorHAnsi" w:hAnsiTheme="minorHAnsi"/>
        </w:rPr>
      </w:pPr>
      <w:r w:rsidRPr="00F46327">
        <w:rPr>
          <w:rFonts w:asciiTheme="minorHAnsi" w:hAnsiTheme="minorHAnsi"/>
          <w:noProof/>
        </w:rPr>
        <w:drawing>
          <wp:inline distT="0" distB="0" distL="0" distR="0" wp14:anchorId="2BDCD190" wp14:editId="516043D9">
            <wp:extent cx="4038006" cy="1412374"/>
            <wp:effectExtent l="0" t="0" r="635"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4052454" cy="1417427"/>
                    </a:xfrm>
                    <a:prstGeom prst="rect">
                      <a:avLst/>
                    </a:prstGeom>
                  </pic:spPr>
                </pic:pic>
              </a:graphicData>
            </a:graphic>
          </wp:inline>
        </w:drawing>
      </w:r>
    </w:p>
    <w:p w:rsidR="00F46327" w:rsidRPr="00F46327" w:rsidRDefault="00F46327" w:rsidP="00F46327">
      <w:pPr>
        <w:spacing w:line="276" w:lineRule="auto"/>
        <w:ind w:left="360"/>
        <w:jc w:val="both"/>
        <w:rPr>
          <w:rFonts w:asciiTheme="minorHAnsi" w:hAnsiTheme="minorHAnsi"/>
        </w:rPr>
      </w:pPr>
      <w:r w:rsidRPr="00F46327">
        <w:rPr>
          <w:rStyle w:val="Nadpis4Char"/>
          <w:rFonts w:asciiTheme="minorHAnsi" w:hAnsiTheme="minorHAnsi"/>
        </w:rPr>
        <w:t xml:space="preserve">V roce </w:t>
      </w:r>
      <w:proofErr w:type="gramStart"/>
      <w:r w:rsidRPr="00F46327">
        <w:rPr>
          <w:rStyle w:val="Nadpis4Char"/>
          <w:rFonts w:asciiTheme="minorHAnsi" w:hAnsiTheme="minorHAnsi"/>
        </w:rPr>
        <w:t>2012</w:t>
      </w:r>
      <w:r w:rsidRPr="00F46327">
        <w:rPr>
          <w:rFonts w:asciiTheme="minorHAnsi" w:hAnsiTheme="minorHAnsi"/>
          <w:i/>
        </w:rPr>
        <w:t xml:space="preserve"> </w:t>
      </w:r>
      <w:r w:rsidRPr="00F46327">
        <w:rPr>
          <w:rFonts w:asciiTheme="minorHAnsi" w:hAnsiTheme="minorHAnsi"/>
        </w:rPr>
        <w:t xml:space="preserve"> byla</w:t>
      </w:r>
      <w:proofErr w:type="gramEnd"/>
      <w:r w:rsidRPr="00F46327">
        <w:rPr>
          <w:rFonts w:asciiTheme="minorHAnsi" w:hAnsiTheme="minorHAnsi"/>
        </w:rPr>
        <w:t xml:space="preserve"> strana financována čistě z darů, členské příspěvky představovali pouhých 0,12%. Skladba donorů, resp. naprostá většina z darovaných 64 milionů Kč byla darována subjekty, které jsou přímo napojení na holding Agrofert. Andrej Babiš (29,5 milionů Kč)., DEZA a.s. (10 milionů Kč), </w:t>
      </w:r>
      <w:proofErr w:type="spellStart"/>
      <w:r w:rsidRPr="00F46327">
        <w:rPr>
          <w:rFonts w:asciiTheme="minorHAnsi" w:hAnsiTheme="minorHAnsi"/>
        </w:rPr>
        <w:t>Lovochemie</w:t>
      </w:r>
      <w:proofErr w:type="spellEnd"/>
      <w:r w:rsidRPr="00F46327">
        <w:rPr>
          <w:rFonts w:asciiTheme="minorHAnsi" w:hAnsiTheme="minorHAnsi"/>
        </w:rPr>
        <w:t xml:space="preserve"> a.s. (6 milionů Kč), PRECHEZA (6 milionů Kč) </w:t>
      </w:r>
      <w:proofErr w:type="gramStart"/>
      <w:r w:rsidRPr="00F46327">
        <w:rPr>
          <w:rFonts w:asciiTheme="minorHAnsi" w:hAnsiTheme="minorHAnsi"/>
        </w:rPr>
        <w:t>či  Synthesia</w:t>
      </w:r>
      <w:proofErr w:type="gramEnd"/>
      <w:r w:rsidRPr="00F46327">
        <w:rPr>
          <w:rFonts w:asciiTheme="minorHAnsi" w:hAnsiTheme="minorHAnsi"/>
        </w:rPr>
        <w:t xml:space="preserve"> a.s. (3 miliony Kč).</w:t>
      </w: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r w:rsidRPr="00F46327">
        <w:rPr>
          <w:rFonts w:asciiTheme="minorHAnsi" w:hAnsiTheme="minorHAnsi"/>
        </w:rPr>
        <w:lastRenderedPageBreak/>
        <w:t xml:space="preserve">Rok </w:t>
      </w:r>
      <w:r w:rsidRPr="00F46327">
        <w:rPr>
          <w:rStyle w:val="Nadpis4Char"/>
          <w:rFonts w:asciiTheme="minorHAnsi" w:hAnsiTheme="minorHAnsi"/>
        </w:rPr>
        <w:t>2013</w:t>
      </w:r>
      <w:r w:rsidRPr="00F46327">
        <w:rPr>
          <w:rFonts w:asciiTheme="minorHAnsi" w:hAnsiTheme="minorHAnsi"/>
          <w:i/>
        </w:rPr>
        <w:t xml:space="preserve"> </w:t>
      </w:r>
      <w:r w:rsidRPr="00F46327">
        <w:rPr>
          <w:rFonts w:asciiTheme="minorHAnsi" w:hAnsiTheme="minorHAnsi"/>
        </w:rPr>
        <w:t>představoval již diversifikovanou příjmovou stránku, kde dominovali půjčky a úvěry (dohromady 122 milionů korun, více než polovina přijmu) a příspěvek ze státního rozpočtu na úhradu volebních nákladů ve výši 92,7 milionů KČ (39 %). Dary již představovaly pouhých 3,35% ve výšce necelých osmi milionů korun.</w:t>
      </w:r>
    </w:p>
    <w:p w:rsidR="00F46327" w:rsidRPr="00F46327" w:rsidRDefault="00F46327" w:rsidP="00F46327">
      <w:pPr>
        <w:spacing w:line="276" w:lineRule="auto"/>
        <w:ind w:left="360"/>
        <w:jc w:val="both"/>
        <w:rPr>
          <w:rStyle w:val="Nadpis4Char"/>
          <w:rFonts w:asciiTheme="minorHAnsi" w:hAnsiTheme="minorHAnsi"/>
        </w:rPr>
      </w:pPr>
    </w:p>
    <w:p w:rsidR="00F46327" w:rsidRPr="00F46327" w:rsidRDefault="00F46327" w:rsidP="00F46327">
      <w:pPr>
        <w:spacing w:line="276" w:lineRule="auto"/>
        <w:ind w:left="360"/>
        <w:jc w:val="both"/>
        <w:rPr>
          <w:rFonts w:asciiTheme="minorHAnsi" w:hAnsiTheme="minorHAnsi"/>
          <w:color w:val="0070C0"/>
        </w:rPr>
      </w:pPr>
      <w:r w:rsidRPr="00F46327">
        <w:rPr>
          <w:rStyle w:val="Nadpis4Char"/>
          <w:rFonts w:asciiTheme="minorHAnsi" w:hAnsiTheme="minorHAnsi"/>
          <w:color w:val="0070C0"/>
        </w:rPr>
        <w:t>V roce 2014 se výše půjček snížila na 61 milionů, nicméně stále představovaly největší kapitolu příjmu hnutí. Následovaný byl příspěvkem státního rozpočtu na činnost (</w:t>
      </w:r>
      <w:proofErr w:type="gramStart"/>
      <w:r w:rsidRPr="00F46327">
        <w:rPr>
          <w:rStyle w:val="Nadpis4Char"/>
          <w:rFonts w:asciiTheme="minorHAnsi" w:hAnsiTheme="minorHAnsi"/>
          <w:color w:val="0070C0"/>
        </w:rPr>
        <w:t>33%)  a dary</w:t>
      </w:r>
      <w:proofErr w:type="gramEnd"/>
      <w:r w:rsidRPr="00F46327">
        <w:rPr>
          <w:rStyle w:val="Nadpis4Char"/>
          <w:rFonts w:asciiTheme="minorHAnsi" w:hAnsiTheme="minorHAnsi"/>
          <w:color w:val="0070C0"/>
        </w:rPr>
        <w:t>, které vyplnily jednu pětinu rozpočtu.</w:t>
      </w: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r w:rsidRPr="00F46327">
        <w:rPr>
          <w:rFonts w:asciiTheme="minorHAnsi" w:hAnsiTheme="minorHAnsi"/>
        </w:rPr>
        <w:t>Z tohoto pohledu lze konstatovat celkem logický vývoj, kdy v prvotní fázi projekt jednoho muže je nejdřív sponzorován jeho impériem a následně začíná část financování představovat dary podporujících subjektů, popř. půjčky. Zde se však nejedná o přirozený vývoj od určitého „</w:t>
      </w:r>
      <w:proofErr w:type="spellStart"/>
      <w:r w:rsidRPr="00F46327">
        <w:rPr>
          <w:rFonts w:asciiTheme="minorHAnsi" w:hAnsiTheme="minorHAnsi"/>
        </w:rPr>
        <w:t>autosponzoringu</w:t>
      </w:r>
      <w:proofErr w:type="spellEnd"/>
      <w:r w:rsidRPr="00F46327">
        <w:rPr>
          <w:rFonts w:asciiTheme="minorHAnsi" w:hAnsiTheme="minorHAnsi"/>
        </w:rPr>
        <w:t xml:space="preserve">“ k vytvoření finanční podporovatelské základny. Při podrobnějším zkoumání ale většina celkového obnosu je spojena s </w:t>
      </w:r>
      <w:proofErr w:type="spellStart"/>
      <w:r w:rsidRPr="00F46327">
        <w:rPr>
          <w:rFonts w:asciiTheme="minorHAnsi" w:hAnsiTheme="minorHAnsi"/>
        </w:rPr>
        <w:t>Agrofertem</w:t>
      </w:r>
      <w:proofErr w:type="spellEnd"/>
      <w:r w:rsidRPr="00F46327">
        <w:rPr>
          <w:rFonts w:asciiTheme="minorHAnsi" w:hAnsiTheme="minorHAnsi"/>
        </w:rPr>
        <w:t xml:space="preserve"> či s nimi spojené firmy. Tuto tezi podporuje i spektrum fyzických donorů v roce 2015 – drtivý poměr lidí spojených </w:t>
      </w:r>
      <w:proofErr w:type="gramStart"/>
      <w:r w:rsidRPr="00F46327">
        <w:rPr>
          <w:rFonts w:asciiTheme="minorHAnsi" w:hAnsiTheme="minorHAnsi"/>
        </w:rPr>
        <w:t>politicky s ANO</w:t>
      </w:r>
      <w:proofErr w:type="gramEnd"/>
      <w:r w:rsidRPr="00F46327">
        <w:rPr>
          <w:rFonts w:asciiTheme="minorHAnsi" w:hAnsiTheme="minorHAnsi"/>
        </w:rPr>
        <w:t xml:space="preserve">. </w:t>
      </w: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pStyle w:val="Nadpis3"/>
        <w:spacing w:line="276" w:lineRule="auto"/>
        <w:jc w:val="both"/>
        <w:rPr>
          <w:rFonts w:asciiTheme="minorHAnsi" w:hAnsiTheme="minorHAnsi"/>
          <w:color w:val="365F91" w:themeColor="accent1" w:themeShade="BF"/>
        </w:rPr>
      </w:pPr>
      <w:r w:rsidRPr="00F46327">
        <w:rPr>
          <w:rFonts w:asciiTheme="minorHAnsi" w:hAnsiTheme="minorHAnsi"/>
          <w:color w:val="365F91" w:themeColor="accent1" w:themeShade="BF"/>
        </w:rPr>
        <w:t>ANO a zemědělské subjekty</w:t>
      </w:r>
    </w:p>
    <w:p w:rsidR="00F46327" w:rsidRPr="00F46327" w:rsidRDefault="00F46327" w:rsidP="00F46327">
      <w:pPr>
        <w:spacing w:line="276" w:lineRule="auto"/>
        <w:ind w:left="720"/>
        <w:jc w:val="both"/>
        <w:rPr>
          <w:rFonts w:asciiTheme="minorHAnsi" w:hAnsiTheme="minorHAnsi"/>
        </w:rPr>
      </w:pPr>
      <w:r w:rsidRPr="00F46327">
        <w:rPr>
          <w:rFonts w:asciiTheme="minorHAnsi" w:hAnsiTheme="minorHAnsi"/>
        </w:rPr>
        <w:t xml:space="preserve">Návaznost hnutí na fungování </w:t>
      </w:r>
      <w:proofErr w:type="spellStart"/>
      <w:r w:rsidRPr="00F46327">
        <w:rPr>
          <w:rFonts w:asciiTheme="minorHAnsi" w:hAnsiTheme="minorHAnsi"/>
        </w:rPr>
        <w:t>AGROFERTu</w:t>
      </w:r>
      <w:proofErr w:type="spellEnd"/>
      <w:r w:rsidRPr="00F46327">
        <w:rPr>
          <w:rFonts w:asciiTheme="minorHAnsi" w:hAnsiTheme="minorHAnsi"/>
        </w:rPr>
        <w:t xml:space="preserve"> lze ilustrovat i na podílu firem ze zemědělského odvětví z celkového počtu dárců. Přestože to není agrární strana, tak v období 2012 – 2014 darovalo celkem 363 právnických osob. Z nich bylo identifikováno nejméně 75, které jsou v zemědělském odvětví, tedy minimální podíl této sféry na sponzorování hnutí je 20%. To představuje unikátní podíl v porovnání s ostatními politickými subjekty. Tyto firmy až na výjimky nesponzorují hnutí vícekrát.</w:t>
      </w:r>
    </w:p>
    <w:p w:rsidR="00F46327" w:rsidRPr="00F46327" w:rsidRDefault="00F46327" w:rsidP="00F46327">
      <w:pPr>
        <w:numPr>
          <w:ilvl w:val="0"/>
          <w:numId w:val="10"/>
        </w:numPr>
        <w:spacing w:line="276" w:lineRule="auto"/>
        <w:jc w:val="both"/>
        <w:rPr>
          <w:rFonts w:asciiTheme="minorHAnsi" w:hAnsiTheme="minorHAnsi"/>
        </w:rPr>
      </w:pPr>
      <w:r w:rsidRPr="00F46327">
        <w:rPr>
          <w:rFonts w:asciiTheme="minorHAnsi" w:hAnsiTheme="minorHAnsi"/>
        </w:rPr>
        <w:t xml:space="preserve">Příklady firem – Agropodnik a.s. Hradec Králové, </w:t>
      </w:r>
      <w:proofErr w:type="spellStart"/>
      <w:r w:rsidRPr="00F46327">
        <w:rPr>
          <w:rFonts w:asciiTheme="minorHAnsi" w:hAnsiTheme="minorHAnsi"/>
        </w:rPr>
        <w:t>Tršická</w:t>
      </w:r>
      <w:proofErr w:type="spellEnd"/>
      <w:r w:rsidRPr="00F46327">
        <w:rPr>
          <w:rFonts w:asciiTheme="minorHAnsi" w:hAnsiTheme="minorHAnsi"/>
        </w:rPr>
        <w:t xml:space="preserve"> zemědělská a.s., SENAGRO a.s. či Drůbežářský závod Klatovy a.s.</w:t>
      </w:r>
    </w:p>
    <w:p w:rsidR="00F46327" w:rsidRPr="00F46327" w:rsidRDefault="00F46327" w:rsidP="00F46327">
      <w:pPr>
        <w:rPr>
          <w:rFonts w:asciiTheme="minorHAnsi" w:eastAsiaTheme="majorEastAsia" w:hAnsiTheme="minorHAnsi" w:cstheme="majorBidi"/>
          <w:color w:val="365F91" w:themeColor="accent1" w:themeShade="BF"/>
        </w:rPr>
      </w:pPr>
    </w:p>
    <w:p w:rsidR="00F46327" w:rsidRPr="00F46327" w:rsidRDefault="00F46327" w:rsidP="00F46327">
      <w:pPr>
        <w:pStyle w:val="Nadpis2"/>
        <w:rPr>
          <w:rFonts w:asciiTheme="minorHAnsi" w:hAnsiTheme="minorHAnsi"/>
          <w:color w:val="0070C0"/>
          <w:sz w:val="24"/>
          <w:szCs w:val="24"/>
        </w:rPr>
      </w:pPr>
      <w:r w:rsidRPr="00F46327">
        <w:rPr>
          <w:rFonts w:asciiTheme="minorHAnsi" w:hAnsiTheme="minorHAnsi"/>
          <w:color w:val="0070C0"/>
          <w:sz w:val="24"/>
          <w:szCs w:val="24"/>
        </w:rPr>
        <w:t>Závěry</w:t>
      </w: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r w:rsidRPr="00F46327">
        <w:rPr>
          <w:rFonts w:asciiTheme="minorHAnsi" w:hAnsiTheme="minorHAnsi"/>
          <w:noProof/>
        </w:rPr>
        <w:drawing>
          <wp:anchor distT="0" distB="0" distL="114300" distR="114300" simplePos="0" relativeHeight="251662336" behindDoc="0" locked="0" layoutInCell="1" allowOverlap="1" wp14:anchorId="0A7E69AF" wp14:editId="2EA9265B">
            <wp:simplePos x="0" y="0"/>
            <wp:positionH relativeFrom="margin">
              <wp:align>center</wp:align>
            </wp:positionH>
            <wp:positionV relativeFrom="paragraph">
              <wp:posOffset>425048</wp:posOffset>
            </wp:positionV>
            <wp:extent cx="4391660" cy="1639570"/>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1660" cy="1639570"/>
                    </a:xfrm>
                    <a:prstGeom prst="rect">
                      <a:avLst/>
                    </a:prstGeom>
                    <a:noFill/>
                  </pic:spPr>
                </pic:pic>
              </a:graphicData>
            </a:graphic>
            <wp14:sizeRelH relativeFrom="margin">
              <wp14:pctWidth>0</wp14:pctWidth>
            </wp14:sizeRelH>
            <wp14:sizeRelV relativeFrom="margin">
              <wp14:pctHeight>0</wp14:pctHeight>
            </wp14:sizeRelV>
          </wp:anchor>
        </w:drawing>
      </w:r>
      <w:r w:rsidRPr="00F46327">
        <w:rPr>
          <w:rFonts w:asciiTheme="minorHAnsi" w:hAnsiTheme="minorHAnsi"/>
        </w:rPr>
        <w:t xml:space="preserve">Přímo AGROFERT a.s. není dárcem ani v jediném případě, nicméně jeho dcer je celá řada, </w:t>
      </w:r>
      <w:r w:rsidRPr="00F46327">
        <w:rPr>
          <w:rFonts w:asciiTheme="minorHAnsi" w:hAnsiTheme="minorHAnsi"/>
        </w:rPr>
        <w:lastRenderedPageBreak/>
        <w:t>stejně jako jeho dodavatelů či spjatých firem. Firmy napojené na AF darovali minimálně 30 milionů korun.</w:t>
      </w: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r w:rsidRPr="00F46327">
        <w:rPr>
          <w:rFonts w:asciiTheme="minorHAnsi" w:hAnsiTheme="minorHAnsi"/>
          <w:noProof/>
        </w:rPr>
        <w:drawing>
          <wp:anchor distT="0" distB="0" distL="114300" distR="114300" simplePos="0" relativeHeight="251663360" behindDoc="0" locked="0" layoutInCell="1" allowOverlap="1" wp14:anchorId="2A314B59" wp14:editId="40246A73">
            <wp:simplePos x="0" y="0"/>
            <wp:positionH relativeFrom="margin">
              <wp:align>center</wp:align>
            </wp:positionH>
            <wp:positionV relativeFrom="paragraph">
              <wp:posOffset>310122</wp:posOffset>
            </wp:positionV>
            <wp:extent cx="4391660" cy="1810385"/>
            <wp:effectExtent l="0" t="0" r="889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1660" cy="1810385"/>
                    </a:xfrm>
                    <a:prstGeom prst="rect">
                      <a:avLst/>
                    </a:prstGeom>
                    <a:noFill/>
                  </pic:spPr>
                </pic:pic>
              </a:graphicData>
            </a:graphic>
            <wp14:sizeRelH relativeFrom="margin">
              <wp14:pctWidth>0</wp14:pctWidth>
            </wp14:sizeRelH>
            <wp14:sizeRelV relativeFrom="margin">
              <wp14:pctHeight>0</wp14:pctHeight>
            </wp14:sizeRelV>
          </wp:anchor>
        </w:drawing>
      </w:r>
      <w:r w:rsidRPr="00F46327">
        <w:rPr>
          <w:rFonts w:asciiTheme="minorHAnsi" w:hAnsiTheme="minorHAnsi"/>
        </w:rPr>
        <w:t xml:space="preserve">Drtivá většina darů od fyzických osob je od osob přímo spjatých s Andrejem </w:t>
      </w:r>
      <w:proofErr w:type="spellStart"/>
      <w:r w:rsidRPr="00F46327">
        <w:rPr>
          <w:rFonts w:asciiTheme="minorHAnsi" w:hAnsiTheme="minorHAnsi"/>
        </w:rPr>
        <w:t>Babišem</w:t>
      </w:r>
      <w:proofErr w:type="spellEnd"/>
      <w:r w:rsidRPr="00F46327">
        <w:rPr>
          <w:rFonts w:asciiTheme="minorHAnsi" w:hAnsiTheme="minorHAnsi"/>
        </w:rPr>
        <w:t xml:space="preserve"> (AGROFERT, Andrej Babiš, ANO).</w:t>
      </w: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r w:rsidRPr="00F46327">
        <w:rPr>
          <w:rFonts w:asciiTheme="minorHAnsi" w:hAnsiTheme="minorHAnsi"/>
        </w:rPr>
        <w:t>Mediálně proprané mechanismy „kandiduj, zaplať“ nelze potvrdit, nicméně ani vyvrátit, většina kandidátů darovala, ale částky nejsou podle žádného vzorce.</w:t>
      </w: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r w:rsidRPr="00F46327">
        <w:rPr>
          <w:rFonts w:asciiTheme="minorHAnsi" w:hAnsiTheme="minorHAnsi"/>
        </w:rPr>
        <w:t xml:space="preserve">Podíl firem ze zemědělského prostředí je zarážející – může jít o velké sympatie k politickému hnutí, ALE také i využití dominantního postavení </w:t>
      </w:r>
      <w:proofErr w:type="spellStart"/>
      <w:r w:rsidRPr="00F46327">
        <w:rPr>
          <w:rFonts w:asciiTheme="minorHAnsi" w:hAnsiTheme="minorHAnsi"/>
        </w:rPr>
        <w:t>AGROFERTu</w:t>
      </w:r>
      <w:proofErr w:type="spellEnd"/>
      <w:r w:rsidRPr="00F46327">
        <w:rPr>
          <w:rFonts w:asciiTheme="minorHAnsi" w:hAnsiTheme="minorHAnsi"/>
        </w:rPr>
        <w:t xml:space="preserve"> v jeho odvětvích.</w:t>
      </w:r>
    </w:p>
    <w:p w:rsidR="00F46327" w:rsidRPr="00F46327" w:rsidRDefault="00F46327" w:rsidP="00F46327">
      <w:pPr>
        <w:spacing w:line="276" w:lineRule="auto"/>
        <w:ind w:left="360"/>
        <w:jc w:val="both"/>
        <w:rPr>
          <w:rFonts w:asciiTheme="minorHAnsi" w:hAnsiTheme="minorHAnsi"/>
        </w:rPr>
      </w:pPr>
    </w:p>
    <w:p w:rsidR="00F46327" w:rsidRPr="00F46327" w:rsidRDefault="00F46327" w:rsidP="00F46327">
      <w:pPr>
        <w:spacing w:line="276" w:lineRule="auto"/>
        <w:ind w:left="360"/>
        <w:jc w:val="both"/>
        <w:rPr>
          <w:rFonts w:asciiTheme="minorHAnsi" w:hAnsiTheme="minorHAnsi"/>
        </w:rPr>
      </w:pPr>
      <w:r w:rsidRPr="00F46327">
        <w:rPr>
          <w:rFonts w:asciiTheme="minorHAnsi" w:hAnsiTheme="minorHAnsi"/>
        </w:rPr>
        <w:t xml:space="preserve">Zajímaví dárci (dokreslující rizikové oblasti dříve vytyčené): RAVAK, Česká infrastrukturní (Pergl zakladatel, offshore, neznámý majitel) + Czech Business </w:t>
      </w:r>
      <w:proofErr w:type="spellStart"/>
      <w:r w:rsidRPr="00F46327">
        <w:rPr>
          <w:rFonts w:asciiTheme="minorHAnsi" w:hAnsiTheme="minorHAnsi"/>
        </w:rPr>
        <w:t>Council</w:t>
      </w:r>
      <w:proofErr w:type="spellEnd"/>
      <w:r w:rsidRPr="00F46327">
        <w:rPr>
          <w:rFonts w:asciiTheme="minorHAnsi" w:hAnsiTheme="minorHAnsi"/>
        </w:rPr>
        <w:t xml:space="preserve">, </w:t>
      </w:r>
      <w:proofErr w:type="spellStart"/>
      <w:r w:rsidRPr="00F46327">
        <w:rPr>
          <w:rFonts w:asciiTheme="minorHAnsi" w:hAnsiTheme="minorHAnsi"/>
        </w:rPr>
        <w:t>Eltodo</w:t>
      </w:r>
      <w:proofErr w:type="spellEnd"/>
      <w:r w:rsidRPr="00F46327">
        <w:rPr>
          <w:rFonts w:asciiTheme="minorHAnsi" w:hAnsiTheme="minorHAnsi"/>
        </w:rPr>
        <w:t xml:space="preserve">, Zetor, Východočeši, Fortuna </w:t>
      </w:r>
      <w:proofErr w:type="spellStart"/>
      <w:r w:rsidRPr="00F46327">
        <w:rPr>
          <w:rFonts w:asciiTheme="minorHAnsi" w:hAnsiTheme="minorHAnsi"/>
        </w:rPr>
        <w:t>Libri</w:t>
      </w:r>
      <w:proofErr w:type="spellEnd"/>
      <w:r w:rsidRPr="00F46327">
        <w:rPr>
          <w:rFonts w:asciiTheme="minorHAnsi" w:hAnsiTheme="minorHAnsi"/>
        </w:rPr>
        <w:t xml:space="preserve"> (offshore).</w:t>
      </w: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jc w:val="both"/>
        <w:rPr>
          <w:rFonts w:asciiTheme="minorHAnsi" w:hAnsiTheme="minorHAnsi"/>
        </w:rPr>
      </w:pPr>
    </w:p>
    <w:p w:rsidR="00F46327" w:rsidRPr="00F46327" w:rsidRDefault="00F46327" w:rsidP="00F46327">
      <w:pPr>
        <w:spacing w:line="276" w:lineRule="auto"/>
        <w:jc w:val="both"/>
        <w:rPr>
          <w:rFonts w:asciiTheme="minorHAnsi" w:hAnsiTheme="minorHAnsi"/>
        </w:rPr>
      </w:pPr>
    </w:p>
    <w:p w:rsidR="007457A9" w:rsidRPr="00F46327" w:rsidRDefault="007457A9" w:rsidP="0066337A">
      <w:pPr>
        <w:rPr>
          <w:rFonts w:asciiTheme="minorHAnsi" w:hAnsiTheme="minorHAnsi"/>
          <w:sz w:val="25"/>
          <w:szCs w:val="25"/>
        </w:rPr>
      </w:pPr>
    </w:p>
    <w:sectPr w:rsidR="007457A9" w:rsidRPr="00F4632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06" w:rsidRDefault="00A53006" w:rsidP="00A53006">
      <w:r>
        <w:separator/>
      </w:r>
    </w:p>
  </w:endnote>
  <w:endnote w:type="continuationSeparator" w:id="0">
    <w:p w:rsidR="00A53006" w:rsidRDefault="00A53006"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swald light">
    <w:panose1 w:val="00000000000000000000"/>
    <w:charset w:val="00"/>
    <w:family w:val="roman"/>
    <w:notTrueType/>
    <w:pitch w:val="default"/>
  </w:font>
  <w:font w:name="Oswald">
    <w:panose1 w:val="02000303000000000000"/>
    <w:charset w:val="EE"/>
    <w:family w:val="auto"/>
    <w:pitch w:val="variable"/>
    <w:sig w:usb0="A00000E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A13EAE">
              <w:rPr>
                <w:rFonts w:ascii="Oswald" w:hAnsi="Oswald"/>
                <w:bCs/>
                <w:noProof/>
                <w:color w:val="808080" w:themeColor="background1" w:themeShade="80"/>
                <w:sz w:val="16"/>
                <w:szCs w:val="16"/>
              </w:rPr>
              <w:t>4</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A13EAE">
              <w:rPr>
                <w:rFonts w:ascii="Oswald" w:hAnsi="Oswald"/>
                <w:bCs/>
                <w:noProof/>
                <w:color w:val="808080" w:themeColor="background1" w:themeShade="80"/>
                <w:sz w:val="16"/>
                <w:szCs w:val="16"/>
              </w:rPr>
              <w:t>9</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A53006" w:rsidRPr="00786744" w:rsidRDefault="002E4134"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Transparency International </w:t>
    </w:r>
    <w:r w:rsidR="00C23101"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Česká republika, o. p. s. | Sokolovská 260/143, 180 00 Praha 8, Česká republika | </w:t>
    </w:r>
  </w:p>
  <w:p w:rsidR="00A53006" w:rsidRPr="00786744" w:rsidRDefault="00A53006"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06" w:rsidRDefault="00A53006" w:rsidP="00A53006">
      <w:r>
        <w:separator/>
      </w:r>
    </w:p>
  </w:footnote>
  <w:footnote w:type="continuationSeparator" w:id="0">
    <w:p w:rsidR="00A53006" w:rsidRDefault="00A53006" w:rsidP="00A53006">
      <w:r>
        <w:continuationSeparator/>
      </w:r>
    </w:p>
  </w:footnote>
  <w:footnote w:id="1">
    <w:p w:rsidR="00F46327" w:rsidRPr="00E52C03" w:rsidRDefault="00F46327" w:rsidP="00F46327">
      <w:pPr>
        <w:pStyle w:val="Textpoznpodarou"/>
        <w:rPr>
          <w:rFonts w:ascii="Oswald light" w:hAnsi="Oswald light"/>
        </w:rPr>
      </w:pPr>
      <w:r w:rsidRPr="00E52C03">
        <w:rPr>
          <w:rStyle w:val="Znakapoznpodarou"/>
          <w:rFonts w:ascii="Oswald light" w:hAnsi="Oswald light"/>
        </w:rPr>
        <w:footnoteRef/>
      </w:r>
      <w:r w:rsidRPr="00E52C03">
        <w:rPr>
          <w:rFonts w:ascii="Oswald light" w:hAnsi="Oswald light"/>
        </w:rPr>
        <w:t xml:space="preserve"> Příspěvky ze státního rozpočtu uhrazené politickým stranám a politickým hnutím celkem v roce 2015. Zdroj: MFČR (</w:t>
      </w:r>
      <w:hyperlink r:id="rId1" w:history="1">
        <w:r w:rsidRPr="00E52C03">
          <w:rPr>
            <w:rStyle w:val="Hypertextovodkaz"/>
            <w:rFonts w:ascii="Oswald light" w:hAnsi="Oswald light"/>
          </w:rPr>
          <w:t>http://www.mfcr.cz/cs/verejny-sektor/podpora-z-narodnich-zdroju/politicke-strany-a-hnuti/prispevky-ze-statniho-rozpoctu-uhrazene-23788</w:t>
        </w:r>
      </w:hyperlink>
      <w:r w:rsidRPr="00E52C03">
        <w:rPr>
          <w:rFonts w:ascii="Oswald light" w:hAnsi="Oswald light"/>
          <w:color w:val="1F497D"/>
        </w:rPr>
        <w:t>).</w:t>
      </w:r>
    </w:p>
  </w:footnote>
  <w:footnote w:id="2">
    <w:p w:rsidR="00F46327" w:rsidRPr="00E52C03" w:rsidRDefault="00F46327" w:rsidP="00F46327">
      <w:pPr>
        <w:pStyle w:val="Textpoznpodarou"/>
        <w:rPr>
          <w:rFonts w:ascii="Oswald light" w:hAnsi="Oswald light"/>
        </w:rPr>
      </w:pPr>
      <w:r w:rsidRPr="00E52C03">
        <w:rPr>
          <w:rStyle w:val="Znakapoznpodarou"/>
          <w:rFonts w:ascii="Oswald light" w:hAnsi="Oswald light"/>
        </w:rPr>
        <w:footnoteRef/>
      </w:r>
      <w:r w:rsidRPr="00E52C03">
        <w:rPr>
          <w:rFonts w:ascii="Oswald light" w:hAnsi="Oswald light"/>
        </w:rPr>
        <w:t xml:space="preserve"> </w:t>
      </w:r>
      <w:proofErr w:type="spellStart"/>
      <w:r w:rsidRPr="00E52C03">
        <w:rPr>
          <w:rFonts w:ascii="Oswald light" w:hAnsi="Oswald light"/>
        </w:rPr>
        <w:t>Titl</w:t>
      </w:r>
      <w:proofErr w:type="spellEnd"/>
      <w:r w:rsidRPr="00E52C03">
        <w:rPr>
          <w:rFonts w:ascii="Oswald light" w:hAnsi="Oswald light"/>
        </w:rPr>
        <w:t xml:space="preserve">, </w:t>
      </w:r>
      <w:proofErr w:type="spellStart"/>
      <w:r w:rsidRPr="00E52C03">
        <w:rPr>
          <w:rFonts w:ascii="Oswald light" w:hAnsi="Oswald light"/>
        </w:rPr>
        <w:t>Palanský</w:t>
      </w:r>
      <w:proofErr w:type="spellEnd"/>
      <w:r w:rsidRPr="00E52C03">
        <w:rPr>
          <w:rFonts w:ascii="Oswald light" w:hAnsi="Oswald light"/>
        </w:rPr>
        <w:t xml:space="preserve">, Skuhrovec – Analýza darů právnických osob politickým stranám. </w:t>
      </w:r>
      <w:hyperlink r:id="rId2" w:history="1">
        <w:r w:rsidRPr="00E52C03">
          <w:rPr>
            <w:rStyle w:val="Hypertextovodkaz"/>
            <w:rFonts w:ascii="Oswald light" w:hAnsi="Oswald light"/>
          </w:rPr>
          <w:t>http://www.zindex.cz/data/polfin/2014-09-04-studie_dary_politickym_stranam_po.pdf</w:t>
        </w:r>
      </w:hyperlink>
      <w:r w:rsidRPr="00E52C03">
        <w:rPr>
          <w:rFonts w:ascii="Oswald light" w:hAnsi="Oswald light"/>
        </w:rPr>
        <w:t xml:space="preserve"> </w:t>
      </w:r>
    </w:p>
  </w:footnote>
  <w:footnote w:id="3">
    <w:p w:rsidR="00F46327" w:rsidRDefault="00F46327" w:rsidP="00F46327">
      <w:pPr>
        <w:pStyle w:val="Textpoznpodarou"/>
      </w:pPr>
      <w:r>
        <w:rPr>
          <w:rStyle w:val="Znakapoznpodarou"/>
        </w:rPr>
        <w:footnoteRef/>
      </w:r>
      <w:r>
        <w:t xml:space="preserve"> </w:t>
      </w:r>
      <w:r w:rsidRPr="00E52C03">
        <w:rPr>
          <w:rFonts w:ascii="Oswald light" w:hAnsi="Oswald light"/>
        </w:rPr>
        <w:t>T</w:t>
      </w:r>
      <w:r>
        <w:rPr>
          <w:rFonts w:ascii="Oswald light" w:hAnsi="Oswald light"/>
        </w:rPr>
        <w:t>amtéž.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Default="00A53006" w:rsidP="00A53006">
    <w:pPr>
      <w:pStyle w:val="Zhlav"/>
      <w:tabs>
        <w:tab w:val="clear" w:pos="4536"/>
        <w:tab w:val="clear" w:pos="9072"/>
        <w:tab w:val="left" w:pos="4020"/>
      </w:tabs>
    </w:pPr>
    <w:r>
      <w:rPr>
        <w:noProof/>
        <w:lang w:eastAsia="cs-CZ"/>
      </w:rPr>
      <w:drawing>
        <wp:anchor distT="0" distB="0" distL="114300" distR="114300" simplePos="0" relativeHeight="251658240" behindDoc="1" locked="0" layoutInCell="1" allowOverlap="1" wp14:anchorId="2D730FC9" wp14:editId="32315FA5">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tab/>
    </w:r>
  </w:p>
  <w:p w:rsidR="00A53006" w:rsidRDefault="00A53006" w:rsidP="00A53006">
    <w:pPr>
      <w:pStyle w:val="Zhlav"/>
      <w:tabs>
        <w:tab w:val="clear" w:pos="4536"/>
        <w:tab w:val="clear" w:pos="9072"/>
        <w:tab w:val="left" w:pos="4020"/>
      </w:tabs>
    </w:pPr>
  </w:p>
  <w:p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615"/>
    <w:multiLevelType w:val="hybridMultilevel"/>
    <w:tmpl w:val="4C5E2F78"/>
    <w:lvl w:ilvl="0" w:tplc="D5CEF1B6">
      <w:start w:val="1"/>
      <w:numFmt w:val="decimal"/>
      <w:lvlText w:val="%1."/>
      <w:lvlJc w:val="left"/>
      <w:pPr>
        <w:tabs>
          <w:tab w:val="num" w:pos="720"/>
        </w:tabs>
        <w:ind w:left="720" w:hanging="360"/>
      </w:pPr>
    </w:lvl>
    <w:lvl w:ilvl="1" w:tplc="67ACC154">
      <w:start w:val="1"/>
      <w:numFmt w:val="decimal"/>
      <w:lvlText w:val="%2."/>
      <w:lvlJc w:val="left"/>
      <w:pPr>
        <w:tabs>
          <w:tab w:val="num" w:pos="1440"/>
        </w:tabs>
        <w:ind w:left="1440" w:hanging="360"/>
      </w:pPr>
      <w:rPr>
        <w:rFonts w:hint="default"/>
      </w:rPr>
    </w:lvl>
    <w:lvl w:ilvl="2" w:tplc="27D45C36" w:tentative="1">
      <w:start w:val="1"/>
      <w:numFmt w:val="decimal"/>
      <w:lvlText w:val="%3."/>
      <w:lvlJc w:val="left"/>
      <w:pPr>
        <w:tabs>
          <w:tab w:val="num" w:pos="2160"/>
        </w:tabs>
        <w:ind w:left="2160" w:hanging="360"/>
      </w:pPr>
    </w:lvl>
    <w:lvl w:ilvl="3" w:tplc="04050003">
      <w:start w:val="1"/>
      <w:numFmt w:val="bullet"/>
      <w:lvlText w:val="o"/>
      <w:lvlJc w:val="left"/>
      <w:pPr>
        <w:tabs>
          <w:tab w:val="num" w:pos="1919"/>
        </w:tabs>
        <w:ind w:left="1919" w:hanging="360"/>
      </w:pPr>
      <w:rPr>
        <w:rFonts w:ascii="Courier New" w:hAnsi="Courier New" w:cs="Courier New" w:hint="default"/>
      </w:rPr>
    </w:lvl>
    <w:lvl w:ilvl="4" w:tplc="D2744506" w:tentative="1">
      <w:start w:val="1"/>
      <w:numFmt w:val="decimal"/>
      <w:lvlText w:val="%5."/>
      <w:lvlJc w:val="left"/>
      <w:pPr>
        <w:tabs>
          <w:tab w:val="num" w:pos="3600"/>
        </w:tabs>
        <w:ind w:left="3600" w:hanging="360"/>
      </w:pPr>
    </w:lvl>
    <w:lvl w:ilvl="5" w:tplc="45C04C56" w:tentative="1">
      <w:start w:val="1"/>
      <w:numFmt w:val="decimal"/>
      <w:lvlText w:val="%6."/>
      <w:lvlJc w:val="left"/>
      <w:pPr>
        <w:tabs>
          <w:tab w:val="num" w:pos="4320"/>
        </w:tabs>
        <w:ind w:left="4320" w:hanging="360"/>
      </w:pPr>
    </w:lvl>
    <w:lvl w:ilvl="6" w:tplc="14A6A97E" w:tentative="1">
      <w:start w:val="1"/>
      <w:numFmt w:val="decimal"/>
      <w:lvlText w:val="%7."/>
      <w:lvlJc w:val="left"/>
      <w:pPr>
        <w:tabs>
          <w:tab w:val="num" w:pos="5040"/>
        </w:tabs>
        <w:ind w:left="5040" w:hanging="360"/>
      </w:pPr>
    </w:lvl>
    <w:lvl w:ilvl="7" w:tplc="CCCC490A" w:tentative="1">
      <w:start w:val="1"/>
      <w:numFmt w:val="decimal"/>
      <w:lvlText w:val="%8."/>
      <w:lvlJc w:val="left"/>
      <w:pPr>
        <w:tabs>
          <w:tab w:val="num" w:pos="5760"/>
        </w:tabs>
        <w:ind w:left="5760" w:hanging="360"/>
      </w:pPr>
    </w:lvl>
    <w:lvl w:ilvl="8" w:tplc="77267416" w:tentative="1">
      <w:start w:val="1"/>
      <w:numFmt w:val="decimal"/>
      <w:lvlText w:val="%9."/>
      <w:lvlJc w:val="left"/>
      <w:pPr>
        <w:tabs>
          <w:tab w:val="num" w:pos="6480"/>
        </w:tabs>
        <w:ind w:left="6480" w:hanging="360"/>
      </w:pPr>
    </w:lvl>
  </w:abstractNum>
  <w:abstractNum w:abstractNumId="1">
    <w:nsid w:val="0A1214FD"/>
    <w:multiLevelType w:val="hybridMultilevel"/>
    <w:tmpl w:val="8C7E2F4A"/>
    <w:lvl w:ilvl="0" w:tplc="04050001">
      <w:start w:val="1"/>
      <w:numFmt w:val="bullet"/>
      <w:lvlText w:val=""/>
      <w:lvlJc w:val="left"/>
      <w:pPr>
        <w:tabs>
          <w:tab w:val="num" w:pos="720"/>
        </w:tabs>
        <w:ind w:left="720" w:hanging="360"/>
      </w:pPr>
      <w:rPr>
        <w:rFonts w:ascii="Symbol" w:hAnsi="Symbol" w:hint="default"/>
      </w:rPr>
    </w:lvl>
    <w:lvl w:ilvl="1" w:tplc="5A6C409C">
      <w:start w:val="1"/>
      <w:numFmt w:val="bullet"/>
      <w:lvlText w:val="-"/>
      <w:lvlJc w:val="left"/>
      <w:pPr>
        <w:tabs>
          <w:tab w:val="num" w:pos="1440"/>
        </w:tabs>
        <w:ind w:left="1440" w:hanging="360"/>
      </w:pPr>
      <w:rPr>
        <w:rFonts w:ascii="Times New Roman" w:hAnsi="Times New Roman" w:hint="default"/>
      </w:rPr>
    </w:lvl>
    <w:lvl w:ilvl="2" w:tplc="FE26C11A" w:tentative="1">
      <w:start w:val="1"/>
      <w:numFmt w:val="bullet"/>
      <w:lvlText w:val="-"/>
      <w:lvlJc w:val="left"/>
      <w:pPr>
        <w:tabs>
          <w:tab w:val="num" w:pos="2160"/>
        </w:tabs>
        <w:ind w:left="2160" w:hanging="360"/>
      </w:pPr>
      <w:rPr>
        <w:rFonts w:ascii="Times New Roman" w:hAnsi="Times New Roman" w:hint="default"/>
      </w:rPr>
    </w:lvl>
    <w:lvl w:ilvl="3" w:tplc="87F655FA" w:tentative="1">
      <w:start w:val="1"/>
      <w:numFmt w:val="bullet"/>
      <w:lvlText w:val="-"/>
      <w:lvlJc w:val="left"/>
      <w:pPr>
        <w:tabs>
          <w:tab w:val="num" w:pos="2880"/>
        </w:tabs>
        <w:ind w:left="2880" w:hanging="360"/>
      </w:pPr>
      <w:rPr>
        <w:rFonts w:ascii="Times New Roman" w:hAnsi="Times New Roman" w:hint="default"/>
      </w:rPr>
    </w:lvl>
    <w:lvl w:ilvl="4" w:tplc="E3F8525A" w:tentative="1">
      <w:start w:val="1"/>
      <w:numFmt w:val="bullet"/>
      <w:lvlText w:val="-"/>
      <w:lvlJc w:val="left"/>
      <w:pPr>
        <w:tabs>
          <w:tab w:val="num" w:pos="3600"/>
        </w:tabs>
        <w:ind w:left="3600" w:hanging="360"/>
      </w:pPr>
      <w:rPr>
        <w:rFonts w:ascii="Times New Roman" w:hAnsi="Times New Roman" w:hint="default"/>
      </w:rPr>
    </w:lvl>
    <w:lvl w:ilvl="5" w:tplc="C7F807C2" w:tentative="1">
      <w:start w:val="1"/>
      <w:numFmt w:val="bullet"/>
      <w:lvlText w:val="-"/>
      <w:lvlJc w:val="left"/>
      <w:pPr>
        <w:tabs>
          <w:tab w:val="num" w:pos="4320"/>
        </w:tabs>
        <w:ind w:left="4320" w:hanging="360"/>
      </w:pPr>
      <w:rPr>
        <w:rFonts w:ascii="Times New Roman" w:hAnsi="Times New Roman" w:hint="default"/>
      </w:rPr>
    </w:lvl>
    <w:lvl w:ilvl="6" w:tplc="2092FD34" w:tentative="1">
      <w:start w:val="1"/>
      <w:numFmt w:val="bullet"/>
      <w:lvlText w:val="-"/>
      <w:lvlJc w:val="left"/>
      <w:pPr>
        <w:tabs>
          <w:tab w:val="num" w:pos="5040"/>
        </w:tabs>
        <w:ind w:left="5040" w:hanging="360"/>
      </w:pPr>
      <w:rPr>
        <w:rFonts w:ascii="Times New Roman" w:hAnsi="Times New Roman" w:hint="default"/>
      </w:rPr>
    </w:lvl>
    <w:lvl w:ilvl="7" w:tplc="3E9AEB8C" w:tentative="1">
      <w:start w:val="1"/>
      <w:numFmt w:val="bullet"/>
      <w:lvlText w:val="-"/>
      <w:lvlJc w:val="left"/>
      <w:pPr>
        <w:tabs>
          <w:tab w:val="num" w:pos="5760"/>
        </w:tabs>
        <w:ind w:left="5760" w:hanging="360"/>
      </w:pPr>
      <w:rPr>
        <w:rFonts w:ascii="Times New Roman" w:hAnsi="Times New Roman" w:hint="default"/>
      </w:rPr>
    </w:lvl>
    <w:lvl w:ilvl="8" w:tplc="DA00D6D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787AD4"/>
    <w:multiLevelType w:val="hybridMultilevel"/>
    <w:tmpl w:val="6E5887DA"/>
    <w:lvl w:ilvl="0" w:tplc="04050001">
      <w:start w:val="1"/>
      <w:numFmt w:val="bullet"/>
      <w:lvlText w:val=""/>
      <w:lvlJc w:val="left"/>
      <w:pPr>
        <w:tabs>
          <w:tab w:val="num" w:pos="720"/>
        </w:tabs>
        <w:ind w:left="720" w:hanging="360"/>
      </w:pPr>
      <w:rPr>
        <w:rFonts w:ascii="Symbol" w:hAnsi="Symbol" w:hint="default"/>
      </w:rPr>
    </w:lvl>
    <w:lvl w:ilvl="1" w:tplc="BC78DFD4">
      <w:start w:val="1"/>
      <w:numFmt w:val="bullet"/>
      <w:lvlText w:val="-"/>
      <w:lvlJc w:val="left"/>
      <w:pPr>
        <w:tabs>
          <w:tab w:val="num" w:pos="1440"/>
        </w:tabs>
        <w:ind w:left="1440" w:hanging="360"/>
      </w:pPr>
      <w:rPr>
        <w:rFonts w:ascii="Times New Roman" w:hAnsi="Times New Roman" w:hint="default"/>
      </w:rPr>
    </w:lvl>
    <w:lvl w:ilvl="2" w:tplc="4C1EA7C2" w:tentative="1">
      <w:start w:val="1"/>
      <w:numFmt w:val="bullet"/>
      <w:lvlText w:val="-"/>
      <w:lvlJc w:val="left"/>
      <w:pPr>
        <w:tabs>
          <w:tab w:val="num" w:pos="2160"/>
        </w:tabs>
        <w:ind w:left="2160" w:hanging="360"/>
      </w:pPr>
      <w:rPr>
        <w:rFonts w:ascii="Times New Roman" w:hAnsi="Times New Roman" w:hint="default"/>
      </w:rPr>
    </w:lvl>
    <w:lvl w:ilvl="3" w:tplc="62C6C3A2" w:tentative="1">
      <w:start w:val="1"/>
      <w:numFmt w:val="bullet"/>
      <w:lvlText w:val="-"/>
      <w:lvlJc w:val="left"/>
      <w:pPr>
        <w:tabs>
          <w:tab w:val="num" w:pos="2880"/>
        </w:tabs>
        <w:ind w:left="2880" w:hanging="360"/>
      </w:pPr>
      <w:rPr>
        <w:rFonts w:ascii="Times New Roman" w:hAnsi="Times New Roman" w:hint="default"/>
      </w:rPr>
    </w:lvl>
    <w:lvl w:ilvl="4" w:tplc="C9C4E45E" w:tentative="1">
      <w:start w:val="1"/>
      <w:numFmt w:val="bullet"/>
      <w:lvlText w:val="-"/>
      <w:lvlJc w:val="left"/>
      <w:pPr>
        <w:tabs>
          <w:tab w:val="num" w:pos="3600"/>
        </w:tabs>
        <w:ind w:left="3600" w:hanging="360"/>
      </w:pPr>
      <w:rPr>
        <w:rFonts w:ascii="Times New Roman" w:hAnsi="Times New Roman" w:hint="default"/>
      </w:rPr>
    </w:lvl>
    <w:lvl w:ilvl="5" w:tplc="84ECF432" w:tentative="1">
      <w:start w:val="1"/>
      <w:numFmt w:val="bullet"/>
      <w:lvlText w:val="-"/>
      <w:lvlJc w:val="left"/>
      <w:pPr>
        <w:tabs>
          <w:tab w:val="num" w:pos="4320"/>
        </w:tabs>
        <w:ind w:left="4320" w:hanging="360"/>
      </w:pPr>
      <w:rPr>
        <w:rFonts w:ascii="Times New Roman" w:hAnsi="Times New Roman" w:hint="default"/>
      </w:rPr>
    </w:lvl>
    <w:lvl w:ilvl="6" w:tplc="AE94EF7C" w:tentative="1">
      <w:start w:val="1"/>
      <w:numFmt w:val="bullet"/>
      <w:lvlText w:val="-"/>
      <w:lvlJc w:val="left"/>
      <w:pPr>
        <w:tabs>
          <w:tab w:val="num" w:pos="5040"/>
        </w:tabs>
        <w:ind w:left="5040" w:hanging="360"/>
      </w:pPr>
      <w:rPr>
        <w:rFonts w:ascii="Times New Roman" w:hAnsi="Times New Roman" w:hint="default"/>
      </w:rPr>
    </w:lvl>
    <w:lvl w:ilvl="7" w:tplc="12768708" w:tentative="1">
      <w:start w:val="1"/>
      <w:numFmt w:val="bullet"/>
      <w:lvlText w:val="-"/>
      <w:lvlJc w:val="left"/>
      <w:pPr>
        <w:tabs>
          <w:tab w:val="num" w:pos="5760"/>
        </w:tabs>
        <w:ind w:left="5760" w:hanging="360"/>
      </w:pPr>
      <w:rPr>
        <w:rFonts w:ascii="Times New Roman" w:hAnsi="Times New Roman" w:hint="default"/>
      </w:rPr>
    </w:lvl>
    <w:lvl w:ilvl="8" w:tplc="A06862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F52FB6"/>
    <w:multiLevelType w:val="hybridMultilevel"/>
    <w:tmpl w:val="09D0C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B13CAB"/>
    <w:multiLevelType w:val="hybridMultilevel"/>
    <w:tmpl w:val="7C2C2054"/>
    <w:lvl w:ilvl="0" w:tplc="A6CEAC26">
      <w:start w:val="1"/>
      <w:numFmt w:val="bullet"/>
      <w:lvlText w:val="•"/>
      <w:lvlJc w:val="left"/>
      <w:pPr>
        <w:tabs>
          <w:tab w:val="num" w:pos="720"/>
        </w:tabs>
        <w:ind w:left="720" w:hanging="360"/>
      </w:pPr>
      <w:rPr>
        <w:rFonts w:ascii="Arial" w:hAnsi="Arial" w:hint="default"/>
      </w:rPr>
    </w:lvl>
    <w:lvl w:ilvl="1" w:tplc="D37AAF92">
      <w:start w:val="1"/>
      <w:numFmt w:val="bullet"/>
      <w:lvlText w:val="•"/>
      <w:lvlJc w:val="left"/>
      <w:pPr>
        <w:tabs>
          <w:tab w:val="num" w:pos="1440"/>
        </w:tabs>
        <w:ind w:left="1440" w:hanging="360"/>
      </w:pPr>
      <w:rPr>
        <w:rFonts w:ascii="Arial" w:hAnsi="Arial" w:hint="default"/>
      </w:rPr>
    </w:lvl>
    <w:lvl w:ilvl="2" w:tplc="0582AB28">
      <w:start w:val="1"/>
      <w:numFmt w:val="bullet"/>
      <w:lvlText w:val="•"/>
      <w:lvlJc w:val="left"/>
      <w:pPr>
        <w:tabs>
          <w:tab w:val="num" w:pos="2160"/>
        </w:tabs>
        <w:ind w:left="2160" w:hanging="360"/>
      </w:pPr>
      <w:rPr>
        <w:rFonts w:ascii="Arial" w:hAnsi="Arial" w:hint="default"/>
      </w:rPr>
    </w:lvl>
    <w:lvl w:ilvl="3" w:tplc="04050003">
      <w:start w:val="1"/>
      <w:numFmt w:val="bullet"/>
      <w:lvlText w:val="o"/>
      <w:lvlJc w:val="left"/>
      <w:pPr>
        <w:tabs>
          <w:tab w:val="num" w:pos="1919"/>
        </w:tabs>
        <w:ind w:left="1919" w:hanging="360"/>
      </w:pPr>
      <w:rPr>
        <w:rFonts w:ascii="Courier New" w:hAnsi="Courier New" w:cs="Courier New" w:hint="default"/>
      </w:rPr>
    </w:lvl>
    <w:lvl w:ilvl="4" w:tplc="C832D4DE" w:tentative="1">
      <w:start w:val="1"/>
      <w:numFmt w:val="bullet"/>
      <w:lvlText w:val="•"/>
      <w:lvlJc w:val="left"/>
      <w:pPr>
        <w:tabs>
          <w:tab w:val="num" w:pos="3600"/>
        </w:tabs>
        <w:ind w:left="3600" w:hanging="360"/>
      </w:pPr>
      <w:rPr>
        <w:rFonts w:ascii="Arial" w:hAnsi="Arial" w:hint="default"/>
      </w:rPr>
    </w:lvl>
    <w:lvl w:ilvl="5" w:tplc="C8725E2C" w:tentative="1">
      <w:start w:val="1"/>
      <w:numFmt w:val="bullet"/>
      <w:lvlText w:val="•"/>
      <w:lvlJc w:val="left"/>
      <w:pPr>
        <w:tabs>
          <w:tab w:val="num" w:pos="4320"/>
        </w:tabs>
        <w:ind w:left="4320" w:hanging="360"/>
      </w:pPr>
      <w:rPr>
        <w:rFonts w:ascii="Arial" w:hAnsi="Arial" w:hint="default"/>
      </w:rPr>
    </w:lvl>
    <w:lvl w:ilvl="6" w:tplc="25EE7DF0" w:tentative="1">
      <w:start w:val="1"/>
      <w:numFmt w:val="bullet"/>
      <w:lvlText w:val="•"/>
      <w:lvlJc w:val="left"/>
      <w:pPr>
        <w:tabs>
          <w:tab w:val="num" w:pos="5040"/>
        </w:tabs>
        <w:ind w:left="5040" w:hanging="360"/>
      </w:pPr>
      <w:rPr>
        <w:rFonts w:ascii="Arial" w:hAnsi="Arial" w:hint="default"/>
      </w:rPr>
    </w:lvl>
    <w:lvl w:ilvl="7" w:tplc="F7484D36" w:tentative="1">
      <w:start w:val="1"/>
      <w:numFmt w:val="bullet"/>
      <w:lvlText w:val="•"/>
      <w:lvlJc w:val="left"/>
      <w:pPr>
        <w:tabs>
          <w:tab w:val="num" w:pos="5760"/>
        </w:tabs>
        <w:ind w:left="5760" w:hanging="360"/>
      </w:pPr>
      <w:rPr>
        <w:rFonts w:ascii="Arial" w:hAnsi="Arial" w:hint="default"/>
      </w:rPr>
    </w:lvl>
    <w:lvl w:ilvl="8" w:tplc="6164B01E" w:tentative="1">
      <w:start w:val="1"/>
      <w:numFmt w:val="bullet"/>
      <w:lvlText w:val="•"/>
      <w:lvlJc w:val="left"/>
      <w:pPr>
        <w:tabs>
          <w:tab w:val="num" w:pos="6480"/>
        </w:tabs>
        <w:ind w:left="6480" w:hanging="360"/>
      </w:pPr>
      <w:rPr>
        <w:rFonts w:ascii="Arial" w:hAnsi="Arial" w:hint="default"/>
      </w:rPr>
    </w:lvl>
  </w:abstractNum>
  <w:abstractNum w:abstractNumId="5">
    <w:nsid w:val="29A56A06"/>
    <w:multiLevelType w:val="hybridMultilevel"/>
    <w:tmpl w:val="6608DBDA"/>
    <w:lvl w:ilvl="0" w:tplc="77AC6F14">
      <w:start w:val="1"/>
      <w:numFmt w:val="bullet"/>
      <w:lvlText w:val="•"/>
      <w:lvlJc w:val="left"/>
      <w:pPr>
        <w:tabs>
          <w:tab w:val="num" w:pos="720"/>
        </w:tabs>
        <w:ind w:left="720" w:hanging="360"/>
      </w:pPr>
      <w:rPr>
        <w:rFonts w:ascii="Arial" w:hAnsi="Arial" w:hint="default"/>
      </w:rPr>
    </w:lvl>
    <w:lvl w:ilvl="1" w:tplc="67ACC154">
      <w:start w:val="1"/>
      <w:numFmt w:val="decimal"/>
      <w:lvlText w:val="%2."/>
      <w:lvlJc w:val="left"/>
      <w:pPr>
        <w:tabs>
          <w:tab w:val="num" w:pos="1440"/>
        </w:tabs>
        <w:ind w:left="1440" w:hanging="360"/>
      </w:pPr>
      <w:rPr>
        <w:rFonts w:hint="default"/>
      </w:rPr>
    </w:lvl>
    <w:lvl w:ilvl="2" w:tplc="9E3AA712" w:tentative="1">
      <w:start w:val="1"/>
      <w:numFmt w:val="bullet"/>
      <w:lvlText w:val="•"/>
      <w:lvlJc w:val="left"/>
      <w:pPr>
        <w:tabs>
          <w:tab w:val="num" w:pos="2160"/>
        </w:tabs>
        <w:ind w:left="2160" w:hanging="360"/>
      </w:pPr>
      <w:rPr>
        <w:rFonts w:ascii="Arial" w:hAnsi="Arial" w:hint="default"/>
      </w:rPr>
    </w:lvl>
    <w:lvl w:ilvl="3" w:tplc="04050003">
      <w:start w:val="1"/>
      <w:numFmt w:val="bullet"/>
      <w:lvlText w:val="o"/>
      <w:lvlJc w:val="left"/>
      <w:pPr>
        <w:tabs>
          <w:tab w:val="num" w:pos="1919"/>
        </w:tabs>
        <w:ind w:left="1919" w:hanging="360"/>
      </w:pPr>
      <w:rPr>
        <w:rFonts w:ascii="Courier New" w:hAnsi="Courier New" w:cs="Courier New" w:hint="default"/>
      </w:rPr>
    </w:lvl>
    <w:lvl w:ilvl="4" w:tplc="69DC7F40" w:tentative="1">
      <w:start w:val="1"/>
      <w:numFmt w:val="bullet"/>
      <w:lvlText w:val="•"/>
      <w:lvlJc w:val="left"/>
      <w:pPr>
        <w:tabs>
          <w:tab w:val="num" w:pos="3600"/>
        </w:tabs>
        <w:ind w:left="3600" w:hanging="360"/>
      </w:pPr>
      <w:rPr>
        <w:rFonts w:ascii="Arial" w:hAnsi="Arial" w:hint="default"/>
      </w:rPr>
    </w:lvl>
    <w:lvl w:ilvl="5" w:tplc="1A800AC8" w:tentative="1">
      <w:start w:val="1"/>
      <w:numFmt w:val="bullet"/>
      <w:lvlText w:val="•"/>
      <w:lvlJc w:val="left"/>
      <w:pPr>
        <w:tabs>
          <w:tab w:val="num" w:pos="4320"/>
        </w:tabs>
        <w:ind w:left="4320" w:hanging="360"/>
      </w:pPr>
      <w:rPr>
        <w:rFonts w:ascii="Arial" w:hAnsi="Arial" w:hint="default"/>
      </w:rPr>
    </w:lvl>
    <w:lvl w:ilvl="6" w:tplc="0606533E" w:tentative="1">
      <w:start w:val="1"/>
      <w:numFmt w:val="bullet"/>
      <w:lvlText w:val="•"/>
      <w:lvlJc w:val="left"/>
      <w:pPr>
        <w:tabs>
          <w:tab w:val="num" w:pos="5040"/>
        </w:tabs>
        <w:ind w:left="5040" w:hanging="360"/>
      </w:pPr>
      <w:rPr>
        <w:rFonts w:ascii="Arial" w:hAnsi="Arial" w:hint="default"/>
      </w:rPr>
    </w:lvl>
    <w:lvl w:ilvl="7" w:tplc="0D4804C6" w:tentative="1">
      <w:start w:val="1"/>
      <w:numFmt w:val="bullet"/>
      <w:lvlText w:val="•"/>
      <w:lvlJc w:val="left"/>
      <w:pPr>
        <w:tabs>
          <w:tab w:val="num" w:pos="5760"/>
        </w:tabs>
        <w:ind w:left="5760" w:hanging="360"/>
      </w:pPr>
      <w:rPr>
        <w:rFonts w:ascii="Arial" w:hAnsi="Arial" w:hint="default"/>
      </w:rPr>
    </w:lvl>
    <w:lvl w:ilvl="8" w:tplc="9774E034" w:tentative="1">
      <w:start w:val="1"/>
      <w:numFmt w:val="bullet"/>
      <w:lvlText w:val="•"/>
      <w:lvlJc w:val="left"/>
      <w:pPr>
        <w:tabs>
          <w:tab w:val="num" w:pos="6480"/>
        </w:tabs>
        <w:ind w:left="6480" w:hanging="360"/>
      </w:pPr>
      <w:rPr>
        <w:rFonts w:ascii="Arial" w:hAnsi="Arial" w:hint="default"/>
      </w:rPr>
    </w:lvl>
  </w:abstractNum>
  <w:abstractNum w:abstractNumId="6">
    <w:nsid w:val="4BCC26AD"/>
    <w:multiLevelType w:val="hybridMultilevel"/>
    <w:tmpl w:val="CE229232"/>
    <w:lvl w:ilvl="0" w:tplc="0C7E9DD4">
      <w:start w:val="1"/>
      <w:numFmt w:val="bullet"/>
      <w:lvlText w:val="•"/>
      <w:lvlJc w:val="left"/>
      <w:pPr>
        <w:tabs>
          <w:tab w:val="num" w:pos="720"/>
        </w:tabs>
        <w:ind w:left="720" w:hanging="360"/>
      </w:pPr>
      <w:rPr>
        <w:rFonts w:ascii="Arial" w:hAnsi="Arial" w:hint="default"/>
      </w:rPr>
    </w:lvl>
    <w:lvl w:ilvl="1" w:tplc="363609B8">
      <w:start w:val="1"/>
      <w:numFmt w:val="bullet"/>
      <w:lvlText w:val="•"/>
      <w:lvlJc w:val="left"/>
      <w:pPr>
        <w:tabs>
          <w:tab w:val="num" w:pos="786"/>
        </w:tabs>
        <w:ind w:left="786" w:hanging="360"/>
      </w:pPr>
      <w:rPr>
        <w:rFonts w:ascii="Arial" w:hAnsi="Arial" w:hint="default"/>
      </w:rPr>
    </w:lvl>
    <w:lvl w:ilvl="2" w:tplc="593270AC" w:tentative="1">
      <w:start w:val="1"/>
      <w:numFmt w:val="bullet"/>
      <w:lvlText w:val="•"/>
      <w:lvlJc w:val="left"/>
      <w:pPr>
        <w:tabs>
          <w:tab w:val="num" w:pos="2160"/>
        </w:tabs>
        <w:ind w:left="2160" w:hanging="360"/>
      </w:pPr>
      <w:rPr>
        <w:rFonts w:ascii="Arial" w:hAnsi="Arial" w:hint="default"/>
      </w:rPr>
    </w:lvl>
    <w:lvl w:ilvl="3" w:tplc="160C4A9A">
      <w:start w:val="23"/>
      <w:numFmt w:val="bullet"/>
      <w:lvlText w:val="•"/>
      <w:lvlJc w:val="left"/>
      <w:pPr>
        <w:tabs>
          <w:tab w:val="num" w:pos="2880"/>
        </w:tabs>
        <w:ind w:left="2880" w:hanging="360"/>
      </w:pPr>
      <w:rPr>
        <w:rFonts w:ascii="Arial" w:hAnsi="Arial" w:hint="default"/>
      </w:rPr>
    </w:lvl>
    <w:lvl w:ilvl="4" w:tplc="479A6566" w:tentative="1">
      <w:start w:val="1"/>
      <w:numFmt w:val="bullet"/>
      <w:lvlText w:val="•"/>
      <w:lvlJc w:val="left"/>
      <w:pPr>
        <w:tabs>
          <w:tab w:val="num" w:pos="3600"/>
        </w:tabs>
        <w:ind w:left="3600" w:hanging="360"/>
      </w:pPr>
      <w:rPr>
        <w:rFonts w:ascii="Arial" w:hAnsi="Arial" w:hint="default"/>
      </w:rPr>
    </w:lvl>
    <w:lvl w:ilvl="5" w:tplc="5DC855B4">
      <w:start w:val="23"/>
      <w:numFmt w:val="bullet"/>
      <w:lvlText w:val="•"/>
      <w:lvlJc w:val="left"/>
      <w:pPr>
        <w:tabs>
          <w:tab w:val="num" w:pos="2203"/>
        </w:tabs>
        <w:ind w:left="2203" w:hanging="360"/>
      </w:pPr>
      <w:rPr>
        <w:rFonts w:ascii="Arial" w:hAnsi="Arial" w:hint="default"/>
      </w:rPr>
    </w:lvl>
    <w:lvl w:ilvl="6" w:tplc="4EC65444" w:tentative="1">
      <w:start w:val="1"/>
      <w:numFmt w:val="bullet"/>
      <w:lvlText w:val="•"/>
      <w:lvlJc w:val="left"/>
      <w:pPr>
        <w:tabs>
          <w:tab w:val="num" w:pos="5040"/>
        </w:tabs>
        <w:ind w:left="5040" w:hanging="360"/>
      </w:pPr>
      <w:rPr>
        <w:rFonts w:ascii="Arial" w:hAnsi="Arial" w:hint="default"/>
      </w:rPr>
    </w:lvl>
    <w:lvl w:ilvl="7" w:tplc="483EE338" w:tentative="1">
      <w:start w:val="1"/>
      <w:numFmt w:val="bullet"/>
      <w:lvlText w:val="•"/>
      <w:lvlJc w:val="left"/>
      <w:pPr>
        <w:tabs>
          <w:tab w:val="num" w:pos="5760"/>
        </w:tabs>
        <w:ind w:left="5760" w:hanging="360"/>
      </w:pPr>
      <w:rPr>
        <w:rFonts w:ascii="Arial" w:hAnsi="Arial" w:hint="default"/>
      </w:rPr>
    </w:lvl>
    <w:lvl w:ilvl="8" w:tplc="5F5E00BC" w:tentative="1">
      <w:start w:val="1"/>
      <w:numFmt w:val="bullet"/>
      <w:lvlText w:val="•"/>
      <w:lvlJc w:val="left"/>
      <w:pPr>
        <w:tabs>
          <w:tab w:val="num" w:pos="6480"/>
        </w:tabs>
        <w:ind w:left="6480" w:hanging="360"/>
      </w:pPr>
      <w:rPr>
        <w:rFonts w:ascii="Arial" w:hAnsi="Arial" w:hint="default"/>
      </w:rPr>
    </w:lvl>
  </w:abstractNum>
  <w:abstractNum w:abstractNumId="7">
    <w:nsid w:val="4F802A11"/>
    <w:multiLevelType w:val="hybridMultilevel"/>
    <w:tmpl w:val="1E1EB6DE"/>
    <w:lvl w:ilvl="0" w:tplc="ECD8CAFC">
      <w:start w:val="1"/>
      <w:numFmt w:val="bullet"/>
      <w:lvlText w:val="•"/>
      <w:lvlJc w:val="left"/>
      <w:pPr>
        <w:tabs>
          <w:tab w:val="num" w:pos="720"/>
        </w:tabs>
        <w:ind w:left="720" w:hanging="360"/>
      </w:pPr>
      <w:rPr>
        <w:rFonts w:ascii="Arial" w:hAnsi="Arial" w:hint="default"/>
      </w:rPr>
    </w:lvl>
    <w:lvl w:ilvl="1" w:tplc="C4C8A612" w:tentative="1">
      <w:start w:val="1"/>
      <w:numFmt w:val="bullet"/>
      <w:lvlText w:val="•"/>
      <w:lvlJc w:val="left"/>
      <w:pPr>
        <w:tabs>
          <w:tab w:val="num" w:pos="1440"/>
        </w:tabs>
        <w:ind w:left="1440" w:hanging="360"/>
      </w:pPr>
      <w:rPr>
        <w:rFonts w:ascii="Arial" w:hAnsi="Arial" w:hint="default"/>
      </w:rPr>
    </w:lvl>
    <w:lvl w:ilvl="2" w:tplc="8D4C14E6" w:tentative="1">
      <w:start w:val="1"/>
      <w:numFmt w:val="bullet"/>
      <w:lvlText w:val="•"/>
      <w:lvlJc w:val="left"/>
      <w:pPr>
        <w:tabs>
          <w:tab w:val="num" w:pos="2160"/>
        </w:tabs>
        <w:ind w:left="2160" w:hanging="360"/>
      </w:pPr>
      <w:rPr>
        <w:rFonts w:ascii="Arial" w:hAnsi="Arial" w:hint="default"/>
      </w:rPr>
    </w:lvl>
    <w:lvl w:ilvl="3" w:tplc="3576527A" w:tentative="1">
      <w:start w:val="1"/>
      <w:numFmt w:val="bullet"/>
      <w:lvlText w:val="•"/>
      <w:lvlJc w:val="left"/>
      <w:pPr>
        <w:tabs>
          <w:tab w:val="num" w:pos="2880"/>
        </w:tabs>
        <w:ind w:left="2880" w:hanging="360"/>
      </w:pPr>
      <w:rPr>
        <w:rFonts w:ascii="Arial" w:hAnsi="Arial" w:hint="default"/>
      </w:rPr>
    </w:lvl>
    <w:lvl w:ilvl="4" w:tplc="912A7008" w:tentative="1">
      <w:start w:val="1"/>
      <w:numFmt w:val="bullet"/>
      <w:lvlText w:val="•"/>
      <w:lvlJc w:val="left"/>
      <w:pPr>
        <w:tabs>
          <w:tab w:val="num" w:pos="3600"/>
        </w:tabs>
        <w:ind w:left="3600" w:hanging="360"/>
      </w:pPr>
      <w:rPr>
        <w:rFonts w:ascii="Arial" w:hAnsi="Arial" w:hint="default"/>
      </w:rPr>
    </w:lvl>
    <w:lvl w:ilvl="5" w:tplc="83E0B42C" w:tentative="1">
      <w:start w:val="1"/>
      <w:numFmt w:val="bullet"/>
      <w:lvlText w:val="•"/>
      <w:lvlJc w:val="left"/>
      <w:pPr>
        <w:tabs>
          <w:tab w:val="num" w:pos="4320"/>
        </w:tabs>
        <w:ind w:left="4320" w:hanging="360"/>
      </w:pPr>
      <w:rPr>
        <w:rFonts w:ascii="Arial" w:hAnsi="Arial" w:hint="default"/>
      </w:rPr>
    </w:lvl>
    <w:lvl w:ilvl="6" w:tplc="A89E2EEA" w:tentative="1">
      <w:start w:val="1"/>
      <w:numFmt w:val="bullet"/>
      <w:lvlText w:val="•"/>
      <w:lvlJc w:val="left"/>
      <w:pPr>
        <w:tabs>
          <w:tab w:val="num" w:pos="5040"/>
        </w:tabs>
        <w:ind w:left="5040" w:hanging="360"/>
      </w:pPr>
      <w:rPr>
        <w:rFonts w:ascii="Arial" w:hAnsi="Arial" w:hint="default"/>
      </w:rPr>
    </w:lvl>
    <w:lvl w:ilvl="7" w:tplc="3A204D64" w:tentative="1">
      <w:start w:val="1"/>
      <w:numFmt w:val="bullet"/>
      <w:lvlText w:val="•"/>
      <w:lvlJc w:val="left"/>
      <w:pPr>
        <w:tabs>
          <w:tab w:val="num" w:pos="5760"/>
        </w:tabs>
        <w:ind w:left="5760" w:hanging="360"/>
      </w:pPr>
      <w:rPr>
        <w:rFonts w:ascii="Arial" w:hAnsi="Arial" w:hint="default"/>
      </w:rPr>
    </w:lvl>
    <w:lvl w:ilvl="8" w:tplc="55064884" w:tentative="1">
      <w:start w:val="1"/>
      <w:numFmt w:val="bullet"/>
      <w:lvlText w:val="•"/>
      <w:lvlJc w:val="left"/>
      <w:pPr>
        <w:tabs>
          <w:tab w:val="num" w:pos="6480"/>
        </w:tabs>
        <w:ind w:left="6480" w:hanging="360"/>
      </w:pPr>
      <w:rPr>
        <w:rFonts w:ascii="Arial" w:hAnsi="Arial" w:hint="default"/>
      </w:rPr>
    </w:lvl>
  </w:abstractNum>
  <w:abstractNum w:abstractNumId="8">
    <w:nsid w:val="513647EE"/>
    <w:multiLevelType w:val="hybridMultilevel"/>
    <w:tmpl w:val="931E65D6"/>
    <w:lvl w:ilvl="0" w:tplc="3D36D23E">
      <w:start w:val="1"/>
      <w:numFmt w:val="bullet"/>
      <w:lvlText w:val="•"/>
      <w:lvlJc w:val="left"/>
      <w:pPr>
        <w:tabs>
          <w:tab w:val="num" w:pos="720"/>
        </w:tabs>
        <w:ind w:left="720" w:hanging="360"/>
      </w:pPr>
      <w:rPr>
        <w:rFonts w:ascii="Arial" w:hAnsi="Arial" w:hint="default"/>
      </w:rPr>
    </w:lvl>
    <w:lvl w:ilvl="1" w:tplc="3D3C700A" w:tentative="1">
      <w:start w:val="1"/>
      <w:numFmt w:val="bullet"/>
      <w:lvlText w:val="•"/>
      <w:lvlJc w:val="left"/>
      <w:pPr>
        <w:tabs>
          <w:tab w:val="num" w:pos="1440"/>
        </w:tabs>
        <w:ind w:left="1440" w:hanging="360"/>
      </w:pPr>
      <w:rPr>
        <w:rFonts w:ascii="Arial" w:hAnsi="Arial" w:hint="default"/>
      </w:rPr>
    </w:lvl>
    <w:lvl w:ilvl="2" w:tplc="9BE4E616" w:tentative="1">
      <w:start w:val="1"/>
      <w:numFmt w:val="bullet"/>
      <w:lvlText w:val="•"/>
      <w:lvlJc w:val="left"/>
      <w:pPr>
        <w:tabs>
          <w:tab w:val="num" w:pos="2160"/>
        </w:tabs>
        <w:ind w:left="2160" w:hanging="360"/>
      </w:pPr>
      <w:rPr>
        <w:rFonts w:ascii="Arial" w:hAnsi="Arial" w:hint="default"/>
      </w:rPr>
    </w:lvl>
    <w:lvl w:ilvl="3" w:tplc="7D06E9FE" w:tentative="1">
      <w:start w:val="1"/>
      <w:numFmt w:val="bullet"/>
      <w:lvlText w:val="•"/>
      <w:lvlJc w:val="left"/>
      <w:pPr>
        <w:tabs>
          <w:tab w:val="num" w:pos="2880"/>
        </w:tabs>
        <w:ind w:left="2880" w:hanging="360"/>
      </w:pPr>
      <w:rPr>
        <w:rFonts w:ascii="Arial" w:hAnsi="Arial" w:hint="default"/>
      </w:rPr>
    </w:lvl>
    <w:lvl w:ilvl="4" w:tplc="451A42B2" w:tentative="1">
      <w:start w:val="1"/>
      <w:numFmt w:val="bullet"/>
      <w:lvlText w:val="•"/>
      <w:lvlJc w:val="left"/>
      <w:pPr>
        <w:tabs>
          <w:tab w:val="num" w:pos="3600"/>
        </w:tabs>
        <w:ind w:left="3600" w:hanging="360"/>
      </w:pPr>
      <w:rPr>
        <w:rFonts w:ascii="Arial" w:hAnsi="Arial" w:hint="default"/>
      </w:rPr>
    </w:lvl>
    <w:lvl w:ilvl="5" w:tplc="379814EE" w:tentative="1">
      <w:start w:val="1"/>
      <w:numFmt w:val="bullet"/>
      <w:lvlText w:val="•"/>
      <w:lvlJc w:val="left"/>
      <w:pPr>
        <w:tabs>
          <w:tab w:val="num" w:pos="4320"/>
        </w:tabs>
        <w:ind w:left="4320" w:hanging="360"/>
      </w:pPr>
      <w:rPr>
        <w:rFonts w:ascii="Arial" w:hAnsi="Arial" w:hint="default"/>
      </w:rPr>
    </w:lvl>
    <w:lvl w:ilvl="6" w:tplc="31D052B6" w:tentative="1">
      <w:start w:val="1"/>
      <w:numFmt w:val="bullet"/>
      <w:lvlText w:val="•"/>
      <w:lvlJc w:val="left"/>
      <w:pPr>
        <w:tabs>
          <w:tab w:val="num" w:pos="5040"/>
        </w:tabs>
        <w:ind w:left="5040" w:hanging="360"/>
      </w:pPr>
      <w:rPr>
        <w:rFonts w:ascii="Arial" w:hAnsi="Arial" w:hint="default"/>
      </w:rPr>
    </w:lvl>
    <w:lvl w:ilvl="7" w:tplc="8A682E0E" w:tentative="1">
      <w:start w:val="1"/>
      <w:numFmt w:val="bullet"/>
      <w:lvlText w:val="•"/>
      <w:lvlJc w:val="left"/>
      <w:pPr>
        <w:tabs>
          <w:tab w:val="num" w:pos="5760"/>
        </w:tabs>
        <w:ind w:left="5760" w:hanging="360"/>
      </w:pPr>
      <w:rPr>
        <w:rFonts w:ascii="Arial" w:hAnsi="Arial" w:hint="default"/>
      </w:rPr>
    </w:lvl>
    <w:lvl w:ilvl="8" w:tplc="431ACA58" w:tentative="1">
      <w:start w:val="1"/>
      <w:numFmt w:val="bullet"/>
      <w:lvlText w:val="•"/>
      <w:lvlJc w:val="left"/>
      <w:pPr>
        <w:tabs>
          <w:tab w:val="num" w:pos="6480"/>
        </w:tabs>
        <w:ind w:left="6480" w:hanging="360"/>
      </w:pPr>
      <w:rPr>
        <w:rFonts w:ascii="Arial" w:hAnsi="Arial" w:hint="default"/>
      </w:rPr>
    </w:lvl>
  </w:abstractNum>
  <w:abstractNum w:abstractNumId="9">
    <w:nsid w:val="54D41471"/>
    <w:multiLevelType w:val="hybridMultilevel"/>
    <w:tmpl w:val="88140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C4312E9"/>
    <w:multiLevelType w:val="hybridMultilevel"/>
    <w:tmpl w:val="D4EC1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501BB5"/>
    <w:multiLevelType w:val="hybridMultilevel"/>
    <w:tmpl w:val="C13A6086"/>
    <w:lvl w:ilvl="0" w:tplc="6F50D9AC">
      <w:start w:val="1"/>
      <w:numFmt w:val="bullet"/>
      <w:lvlText w:val="•"/>
      <w:lvlJc w:val="left"/>
      <w:pPr>
        <w:tabs>
          <w:tab w:val="num" w:pos="720"/>
        </w:tabs>
        <w:ind w:left="720" w:hanging="360"/>
      </w:pPr>
      <w:rPr>
        <w:rFonts w:ascii="Arial" w:hAnsi="Arial" w:hint="default"/>
      </w:rPr>
    </w:lvl>
    <w:lvl w:ilvl="1" w:tplc="55B0920E" w:tentative="1">
      <w:start w:val="1"/>
      <w:numFmt w:val="bullet"/>
      <w:lvlText w:val="•"/>
      <w:lvlJc w:val="left"/>
      <w:pPr>
        <w:tabs>
          <w:tab w:val="num" w:pos="1440"/>
        </w:tabs>
        <w:ind w:left="1440" w:hanging="360"/>
      </w:pPr>
      <w:rPr>
        <w:rFonts w:ascii="Arial" w:hAnsi="Arial" w:hint="default"/>
      </w:rPr>
    </w:lvl>
    <w:lvl w:ilvl="2" w:tplc="B17215FE" w:tentative="1">
      <w:start w:val="1"/>
      <w:numFmt w:val="bullet"/>
      <w:lvlText w:val="•"/>
      <w:lvlJc w:val="left"/>
      <w:pPr>
        <w:tabs>
          <w:tab w:val="num" w:pos="2160"/>
        </w:tabs>
        <w:ind w:left="2160" w:hanging="360"/>
      </w:pPr>
      <w:rPr>
        <w:rFonts w:ascii="Arial" w:hAnsi="Arial" w:hint="default"/>
      </w:rPr>
    </w:lvl>
    <w:lvl w:ilvl="3" w:tplc="04050003">
      <w:start w:val="1"/>
      <w:numFmt w:val="bullet"/>
      <w:lvlText w:val="o"/>
      <w:lvlJc w:val="left"/>
      <w:pPr>
        <w:tabs>
          <w:tab w:val="num" w:pos="1920"/>
        </w:tabs>
        <w:ind w:left="1920" w:hanging="360"/>
      </w:pPr>
      <w:rPr>
        <w:rFonts w:ascii="Courier New" w:hAnsi="Courier New" w:cs="Courier New" w:hint="default"/>
      </w:rPr>
    </w:lvl>
    <w:lvl w:ilvl="4" w:tplc="1DFEF486">
      <w:start w:val="1"/>
      <w:numFmt w:val="bullet"/>
      <w:lvlText w:val="•"/>
      <w:lvlJc w:val="left"/>
      <w:pPr>
        <w:tabs>
          <w:tab w:val="num" w:pos="3600"/>
        </w:tabs>
        <w:ind w:left="3600" w:hanging="360"/>
      </w:pPr>
      <w:rPr>
        <w:rFonts w:ascii="Arial" w:hAnsi="Arial" w:hint="default"/>
      </w:rPr>
    </w:lvl>
    <w:lvl w:ilvl="5" w:tplc="3E2C900C" w:tentative="1">
      <w:start w:val="1"/>
      <w:numFmt w:val="bullet"/>
      <w:lvlText w:val="•"/>
      <w:lvlJc w:val="left"/>
      <w:pPr>
        <w:tabs>
          <w:tab w:val="num" w:pos="4320"/>
        </w:tabs>
        <w:ind w:left="4320" w:hanging="360"/>
      </w:pPr>
      <w:rPr>
        <w:rFonts w:ascii="Arial" w:hAnsi="Arial" w:hint="default"/>
      </w:rPr>
    </w:lvl>
    <w:lvl w:ilvl="6" w:tplc="A9B2B21E" w:tentative="1">
      <w:start w:val="1"/>
      <w:numFmt w:val="bullet"/>
      <w:lvlText w:val="•"/>
      <w:lvlJc w:val="left"/>
      <w:pPr>
        <w:tabs>
          <w:tab w:val="num" w:pos="5040"/>
        </w:tabs>
        <w:ind w:left="5040" w:hanging="360"/>
      </w:pPr>
      <w:rPr>
        <w:rFonts w:ascii="Arial" w:hAnsi="Arial" w:hint="default"/>
      </w:rPr>
    </w:lvl>
    <w:lvl w:ilvl="7" w:tplc="B5D07D9E" w:tentative="1">
      <w:start w:val="1"/>
      <w:numFmt w:val="bullet"/>
      <w:lvlText w:val="•"/>
      <w:lvlJc w:val="left"/>
      <w:pPr>
        <w:tabs>
          <w:tab w:val="num" w:pos="5760"/>
        </w:tabs>
        <w:ind w:left="5760" w:hanging="360"/>
      </w:pPr>
      <w:rPr>
        <w:rFonts w:ascii="Arial" w:hAnsi="Arial" w:hint="default"/>
      </w:rPr>
    </w:lvl>
    <w:lvl w:ilvl="8" w:tplc="BA56134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6"/>
  </w:num>
  <w:num w:numId="4">
    <w:abstractNumId w:val="0"/>
  </w:num>
  <w:num w:numId="5">
    <w:abstractNumId w:val="12"/>
  </w:num>
  <w:num w:numId="6">
    <w:abstractNumId w:val="4"/>
  </w:num>
  <w:num w:numId="7">
    <w:abstractNumId w:val="5"/>
  </w:num>
  <w:num w:numId="8">
    <w:abstractNumId w:val="1"/>
  </w:num>
  <w:num w:numId="9">
    <w:abstractNumId w:val="2"/>
  </w:num>
  <w:num w:numId="10">
    <w:abstractNumId w:val="7"/>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26D61"/>
    <w:rsid w:val="000911EA"/>
    <w:rsid w:val="001B71D2"/>
    <w:rsid w:val="002E4134"/>
    <w:rsid w:val="00445F84"/>
    <w:rsid w:val="00585C70"/>
    <w:rsid w:val="00590AF9"/>
    <w:rsid w:val="006538FF"/>
    <w:rsid w:val="0066337A"/>
    <w:rsid w:val="007457A9"/>
    <w:rsid w:val="00786744"/>
    <w:rsid w:val="007C6326"/>
    <w:rsid w:val="00817E07"/>
    <w:rsid w:val="00960D2E"/>
    <w:rsid w:val="00966C16"/>
    <w:rsid w:val="00A128BA"/>
    <w:rsid w:val="00A13EAE"/>
    <w:rsid w:val="00A53006"/>
    <w:rsid w:val="00C23101"/>
    <w:rsid w:val="00C8793C"/>
    <w:rsid w:val="00CA72FB"/>
    <w:rsid w:val="00CE17EF"/>
    <w:rsid w:val="00E3338E"/>
    <w:rsid w:val="00F46327"/>
    <w:rsid w:val="00F46A49"/>
    <w:rsid w:val="00F5080A"/>
    <w:rsid w:val="00FB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46327"/>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F4632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Nadpis4">
    <w:name w:val="heading 4"/>
    <w:basedOn w:val="Normln"/>
    <w:next w:val="Normln"/>
    <w:link w:val="Nadpis4Char"/>
    <w:uiPriority w:val="9"/>
    <w:unhideWhenUsed/>
    <w:qFormat/>
    <w:rsid w:val="00F46327"/>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character" w:customStyle="1" w:styleId="Nadpis1Char">
    <w:name w:val="Nadpis 1 Char"/>
    <w:basedOn w:val="Standardnpsmoodstavce"/>
    <w:link w:val="Nadpis1"/>
    <w:uiPriority w:val="9"/>
    <w:rsid w:val="00F46327"/>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F46327"/>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F46327"/>
    <w:rPr>
      <w:rFonts w:asciiTheme="majorHAnsi" w:eastAsiaTheme="majorEastAsia" w:hAnsiTheme="majorHAnsi" w:cstheme="majorBidi"/>
      <w:i/>
      <w:iCs/>
      <w:color w:val="365F91" w:themeColor="accent1" w:themeShade="BF"/>
    </w:rPr>
  </w:style>
  <w:style w:type="paragraph" w:styleId="Textpoznpodarou">
    <w:name w:val="footnote text"/>
    <w:basedOn w:val="Normln"/>
    <w:link w:val="TextpoznpodarouChar"/>
    <w:uiPriority w:val="99"/>
    <w:semiHidden/>
    <w:unhideWhenUsed/>
    <w:rsid w:val="00F46327"/>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F46327"/>
    <w:rPr>
      <w:sz w:val="20"/>
      <w:szCs w:val="20"/>
    </w:rPr>
  </w:style>
  <w:style w:type="character" w:styleId="Znakapoznpodarou">
    <w:name w:val="footnote reference"/>
    <w:basedOn w:val="Standardnpsmoodstavce"/>
    <w:uiPriority w:val="99"/>
    <w:semiHidden/>
    <w:unhideWhenUsed/>
    <w:rsid w:val="00F463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46327"/>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F4632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Nadpis4">
    <w:name w:val="heading 4"/>
    <w:basedOn w:val="Normln"/>
    <w:next w:val="Normln"/>
    <w:link w:val="Nadpis4Char"/>
    <w:uiPriority w:val="9"/>
    <w:unhideWhenUsed/>
    <w:qFormat/>
    <w:rsid w:val="00F46327"/>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character" w:customStyle="1" w:styleId="Nadpis1Char">
    <w:name w:val="Nadpis 1 Char"/>
    <w:basedOn w:val="Standardnpsmoodstavce"/>
    <w:link w:val="Nadpis1"/>
    <w:uiPriority w:val="9"/>
    <w:rsid w:val="00F46327"/>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F46327"/>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F46327"/>
    <w:rPr>
      <w:rFonts w:asciiTheme="majorHAnsi" w:eastAsiaTheme="majorEastAsia" w:hAnsiTheme="majorHAnsi" w:cstheme="majorBidi"/>
      <w:i/>
      <w:iCs/>
      <w:color w:val="365F91" w:themeColor="accent1" w:themeShade="BF"/>
    </w:rPr>
  </w:style>
  <w:style w:type="paragraph" w:styleId="Textpoznpodarou">
    <w:name w:val="footnote text"/>
    <w:basedOn w:val="Normln"/>
    <w:link w:val="TextpoznpodarouChar"/>
    <w:uiPriority w:val="99"/>
    <w:semiHidden/>
    <w:unhideWhenUsed/>
    <w:rsid w:val="00F46327"/>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F46327"/>
    <w:rPr>
      <w:sz w:val="20"/>
      <w:szCs w:val="20"/>
    </w:rPr>
  </w:style>
  <w:style w:type="character" w:styleId="Znakapoznpodarou">
    <w:name w:val="footnote reference"/>
    <w:basedOn w:val="Standardnpsmoodstavce"/>
    <w:uiPriority w:val="99"/>
    <w:semiHidden/>
    <w:unhideWhenUsed/>
    <w:rsid w:val="00F463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zindex.cz/data/polfin/2014-09-04-studie_dary_politickym_stranam_po.pdf" TargetMode="External"/><Relationship Id="rId1" Type="http://schemas.openxmlformats.org/officeDocument/2006/relationships/hyperlink" Target="http://www.mfcr.cz/cs/verejny-sektor/podpora-z-narodnich-zdroju/politicke-strany-a-hnuti/prispevky-ze-statniho-rozpoctu-uhrazene-237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2282</Words>
  <Characters>13469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17</cp:revision>
  <cp:lastPrinted>2016-02-04T07:45:00Z</cp:lastPrinted>
  <dcterms:created xsi:type="dcterms:W3CDTF">2015-01-21T14:46:00Z</dcterms:created>
  <dcterms:modified xsi:type="dcterms:W3CDTF">2016-02-04T07:52:00Z</dcterms:modified>
</cp:coreProperties>
</file>