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8C" w:rsidRPr="00740D94" w:rsidRDefault="00E14B85" w:rsidP="00740D94">
      <w:pPr>
        <w:pStyle w:val="Nzev"/>
        <w:rPr>
          <w:lang w:val="cs-CZ"/>
        </w:rPr>
      </w:pPr>
      <w:r w:rsidRPr="00740D94">
        <w:rPr>
          <w:lang w:val="cs-CZ"/>
        </w:rPr>
        <w:t>Index integrity a transparentnost resortu obrany</w:t>
      </w:r>
    </w:p>
    <w:p w:rsidR="00740D94" w:rsidRPr="00740D94" w:rsidRDefault="00740D94" w:rsidP="00740D94">
      <w:pPr>
        <w:pStyle w:val="Nadpis2"/>
        <w:jc w:val="center"/>
        <w:rPr>
          <w:sz w:val="52"/>
          <w:szCs w:val="52"/>
          <w:lang w:val="cs-CZ"/>
        </w:rPr>
      </w:pPr>
      <w:r w:rsidRPr="00740D94">
        <w:rPr>
          <w:sz w:val="52"/>
          <w:szCs w:val="52"/>
          <w:lang w:val="cs-CZ"/>
        </w:rPr>
        <w:t>Doporučení pro</w:t>
      </w:r>
      <w:r>
        <w:rPr>
          <w:sz w:val="52"/>
          <w:szCs w:val="52"/>
          <w:lang w:val="cs-CZ"/>
        </w:rPr>
        <w:t xml:space="preserve"> Č</w:t>
      </w:r>
      <w:r w:rsidRPr="00740D94">
        <w:rPr>
          <w:sz w:val="52"/>
          <w:szCs w:val="52"/>
          <w:lang w:val="cs-CZ"/>
        </w:rPr>
        <w:t>eskou republiku</w:t>
      </w:r>
    </w:p>
    <w:p w:rsidR="00740D94" w:rsidRPr="00740D94" w:rsidRDefault="00740D94" w:rsidP="00740D94">
      <w:pPr>
        <w:jc w:val="center"/>
        <w:rPr>
          <w:lang w:val="cs-CZ"/>
        </w:rPr>
      </w:pPr>
    </w:p>
    <w:p w:rsidR="00E14B85" w:rsidRPr="00740D94" w:rsidRDefault="00E14B85" w:rsidP="00740D9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  <w:r w:rsidRPr="00740D94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Zpracovaný </w:t>
      </w:r>
      <w:r w:rsidR="002D1CF4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v rámci programu pro obranu a bezpečnost Transparency International</w:t>
      </w:r>
    </w:p>
    <w:p w:rsidR="00740D94" w:rsidRDefault="00740D94" w:rsidP="00740D9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</w:p>
    <w:p w:rsidR="00E14B85" w:rsidRPr="00740D94" w:rsidRDefault="00E14B85" w:rsidP="00740D9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  <w:r w:rsidRPr="00740D94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http://government.defenceindex.org/</w:t>
      </w:r>
    </w:p>
    <w:p w:rsidR="00740D94" w:rsidRDefault="00740D94" w:rsidP="00740D94">
      <w:pPr>
        <w:spacing w:after="200"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C66B29" w:rsidRPr="00E14B85" w:rsidRDefault="00C66B29" w:rsidP="00740D94">
      <w:pPr>
        <w:spacing w:after="200" w:line="360" w:lineRule="auto"/>
        <w:jc w:val="both"/>
        <w:rPr>
          <w:rFonts w:ascii="Times" w:hAnsi="Times" w:cs="Times New Roman"/>
          <w:sz w:val="20"/>
          <w:szCs w:val="20"/>
          <w:lang w:val="cs-CZ"/>
        </w:rPr>
      </w:pPr>
      <w:r w:rsidRPr="00E14B85">
        <w:rPr>
          <w:rFonts w:ascii="Arial" w:hAnsi="Arial" w:cs="Arial"/>
          <w:sz w:val="22"/>
          <w:szCs w:val="22"/>
          <w:lang w:val="cs-CZ"/>
        </w:rPr>
        <w:t xml:space="preserve">Česká republika pokročila </w:t>
      </w:r>
      <w:r w:rsidR="005D61F2" w:rsidRPr="00E14B85">
        <w:rPr>
          <w:rFonts w:ascii="Arial" w:hAnsi="Arial" w:cs="Arial"/>
          <w:sz w:val="22"/>
          <w:szCs w:val="22"/>
          <w:lang w:val="cs-CZ"/>
        </w:rPr>
        <w:t> při vytváření</w:t>
      </w:r>
      <w:r w:rsidR="00B13142" w:rsidRPr="00E14B85">
        <w:rPr>
          <w:rFonts w:ascii="Arial" w:hAnsi="Arial" w:cs="Arial"/>
          <w:sz w:val="22"/>
          <w:szCs w:val="22"/>
          <w:lang w:val="cs-CZ"/>
        </w:rPr>
        <w:t xml:space="preserve"> protikorupčního a do</w:t>
      </w:r>
      <w:r w:rsidRPr="00E14B85">
        <w:rPr>
          <w:rFonts w:ascii="Arial" w:hAnsi="Arial" w:cs="Arial"/>
          <w:sz w:val="22"/>
          <w:szCs w:val="22"/>
          <w:lang w:val="cs-CZ"/>
        </w:rPr>
        <w:t xml:space="preserve">hledového rámce v rámci Ministerstva obrany. </w:t>
      </w:r>
      <w:r w:rsidR="005D61F2" w:rsidRPr="00E14B85">
        <w:rPr>
          <w:rFonts w:ascii="Arial" w:hAnsi="Arial" w:cs="Arial"/>
          <w:sz w:val="22"/>
          <w:szCs w:val="22"/>
          <w:lang w:val="cs-CZ"/>
        </w:rPr>
        <w:t>Je významné, že</w:t>
      </w:r>
      <w:r w:rsidRPr="00E14B85">
        <w:rPr>
          <w:rFonts w:ascii="Arial" w:hAnsi="Arial" w:cs="Arial"/>
          <w:sz w:val="22"/>
          <w:szCs w:val="22"/>
          <w:lang w:val="cs-CZ"/>
        </w:rPr>
        <w:t xml:space="preserve"> </w:t>
      </w:r>
      <w:r w:rsidR="005D61F2" w:rsidRPr="00E14B85">
        <w:rPr>
          <w:rFonts w:ascii="Arial" w:hAnsi="Arial" w:cs="Arial"/>
          <w:sz w:val="22"/>
          <w:szCs w:val="22"/>
          <w:lang w:val="cs-CZ"/>
        </w:rPr>
        <w:t>v</w:t>
      </w:r>
      <w:r w:rsidRPr="00E14B85">
        <w:rPr>
          <w:rFonts w:ascii="Arial" w:hAnsi="Arial" w:cs="Arial"/>
          <w:sz w:val="22"/>
          <w:szCs w:val="22"/>
          <w:lang w:val="cs-CZ"/>
        </w:rPr>
        <w:t xml:space="preserve">láda přijala </w:t>
      </w:r>
      <w:r w:rsidR="002D1CF4">
        <w:rPr>
          <w:rFonts w:ascii="Arial" w:hAnsi="Arial" w:cs="Arial"/>
          <w:sz w:val="22"/>
          <w:szCs w:val="22"/>
          <w:lang w:val="cs-CZ"/>
        </w:rPr>
        <w:t>Vládní koncepci</w:t>
      </w:r>
      <w:r w:rsidR="002D1CF4" w:rsidRPr="002D1CF4">
        <w:rPr>
          <w:rFonts w:ascii="Arial" w:hAnsi="Arial" w:cs="Arial"/>
          <w:sz w:val="22"/>
          <w:szCs w:val="22"/>
          <w:lang w:val="cs-CZ"/>
        </w:rPr>
        <w:t xml:space="preserve"> boj</w:t>
      </w:r>
      <w:r w:rsidR="002D1CF4">
        <w:rPr>
          <w:rFonts w:ascii="Arial" w:hAnsi="Arial" w:cs="Arial"/>
          <w:sz w:val="22"/>
          <w:szCs w:val="22"/>
          <w:lang w:val="cs-CZ"/>
        </w:rPr>
        <w:t>e s korupcí na léta 2015 až 201, že Ministerstvo obrany přijalo Resortní</w:t>
      </w:r>
      <w:r w:rsidR="0004665F">
        <w:rPr>
          <w:rFonts w:ascii="Arial" w:hAnsi="Arial" w:cs="Arial"/>
          <w:sz w:val="22"/>
          <w:szCs w:val="22"/>
          <w:lang w:val="cs-CZ"/>
        </w:rPr>
        <w:t xml:space="preserve"> interní protikorupční program,</w:t>
      </w:r>
      <w:r w:rsidRPr="00E14B85">
        <w:rPr>
          <w:rFonts w:ascii="Arial" w:hAnsi="Arial" w:cs="Arial"/>
          <w:sz w:val="22"/>
          <w:szCs w:val="22"/>
          <w:lang w:val="cs-CZ"/>
        </w:rPr>
        <w:t xml:space="preserve"> </w:t>
      </w:r>
      <w:r w:rsidR="002D1CF4">
        <w:rPr>
          <w:rFonts w:ascii="Arial" w:hAnsi="Arial" w:cs="Arial"/>
          <w:sz w:val="22"/>
          <w:szCs w:val="22"/>
          <w:lang w:val="cs-CZ"/>
        </w:rPr>
        <w:t xml:space="preserve">za </w:t>
      </w:r>
      <w:proofErr w:type="gramStart"/>
      <w:r w:rsidR="002D1CF4">
        <w:rPr>
          <w:rFonts w:ascii="Arial" w:hAnsi="Arial" w:cs="Arial"/>
          <w:sz w:val="22"/>
          <w:szCs w:val="22"/>
          <w:lang w:val="cs-CZ"/>
        </w:rPr>
        <w:t>jehož</w:t>
      </w:r>
      <w:proofErr w:type="gramEnd"/>
      <w:r w:rsidR="002D1CF4">
        <w:rPr>
          <w:rFonts w:ascii="Arial" w:hAnsi="Arial" w:cs="Arial"/>
          <w:sz w:val="22"/>
          <w:szCs w:val="22"/>
          <w:lang w:val="cs-CZ"/>
        </w:rPr>
        <w:t xml:space="preserve"> </w:t>
      </w:r>
      <w:r w:rsidR="002D1CF4" w:rsidRPr="00E14B85">
        <w:rPr>
          <w:rFonts w:ascii="Arial" w:hAnsi="Arial" w:cs="Arial"/>
          <w:sz w:val="22"/>
          <w:szCs w:val="22"/>
          <w:lang w:val="cs-CZ"/>
        </w:rPr>
        <w:t xml:space="preserve">za implementaci </w:t>
      </w:r>
      <w:r w:rsidR="002D1CF4">
        <w:rPr>
          <w:rFonts w:ascii="Arial" w:hAnsi="Arial" w:cs="Arial"/>
          <w:sz w:val="22"/>
          <w:szCs w:val="22"/>
          <w:lang w:val="cs-CZ"/>
        </w:rPr>
        <w:t xml:space="preserve"> </w:t>
      </w:r>
      <w:r w:rsidR="002D1CF4" w:rsidRPr="00E14B85">
        <w:rPr>
          <w:rFonts w:ascii="Arial" w:hAnsi="Arial" w:cs="Arial"/>
          <w:sz w:val="22"/>
          <w:szCs w:val="22"/>
          <w:lang w:val="cs-CZ"/>
        </w:rPr>
        <w:t xml:space="preserve">v resortu obrany zodpovídá </w:t>
      </w:r>
      <w:r w:rsidR="005D61F2" w:rsidRPr="00E14B85">
        <w:rPr>
          <w:rFonts w:ascii="Arial" w:hAnsi="Arial" w:cs="Arial"/>
          <w:sz w:val="22"/>
          <w:szCs w:val="22"/>
          <w:lang w:val="cs-CZ"/>
        </w:rPr>
        <w:t>Odbor inspekce ministra</w:t>
      </w:r>
      <w:r w:rsidR="002D1CF4">
        <w:rPr>
          <w:rFonts w:ascii="Arial" w:hAnsi="Arial" w:cs="Arial"/>
          <w:sz w:val="22"/>
          <w:szCs w:val="22"/>
          <w:lang w:val="cs-CZ"/>
        </w:rPr>
        <w:t xml:space="preserve"> obrany. </w:t>
      </w:r>
      <w:r w:rsidRPr="00E14B85">
        <w:rPr>
          <w:rFonts w:ascii="Arial" w:hAnsi="Arial" w:cs="Arial"/>
          <w:sz w:val="22"/>
          <w:szCs w:val="22"/>
          <w:lang w:val="cs-CZ"/>
        </w:rPr>
        <w:t xml:space="preserve"> V praxi je však kvalita civilního dohledu nad armádou slabá</w:t>
      </w:r>
      <w:r w:rsidR="00D77FAD" w:rsidRPr="00E14B85">
        <w:rPr>
          <w:rFonts w:ascii="Arial" w:hAnsi="Arial" w:cs="Arial"/>
          <w:sz w:val="22"/>
          <w:szCs w:val="22"/>
          <w:lang w:val="cs-CZ"/>
        </w:rPr>
        <w:t xml:space="preserve"> a zprávy o efektivní aplikaci existující legislativy jsou </w:t>
      </w:r>
      <w:r w:rsidR="004C6845" w:rsidRPr="00E14B85">
        <w:rPr>
          <w:rFonts w:ascii="Arial" w:hAnsi="Arial" w:cs="Arial"/>
          <w:sz w:val="22"/>
          <w:szCs w:val="22"/>
          <w:lang w:val="cs-CZ"/>
        </w:rPr>
        <w:t>rozporuplné</w:t>
      </w:r>
      <w:r w:rsidR="00D77FAD" w:rsidRPr="00E14B85">
        <w:rPr>
          <w:rFonts w:ascii="Arial" w:hAnsi="Arial" w:cs="Arial"/>
          <w:sz w:val="22"/>
          <w:szCs w:val="22"/>
          <w:lang w:val="cs-CZ"/>
        </w:rPr>
        <w:t>.</w:t>
      </w:r>
    </w:p>
    <w:p w:rsidR="00D77FAD" w:rsidRPr="00C2592A" w:rsidRDefault="00D77FAD" w:rsidP="00740D94">
      <w:pPr>
        <w:spacing w:after="200" w:line="360" w:lineRule="auto"/>
        <w:jc w:val="both"/>
        <w:rPr>
          <w:rFonts w:ascii="Times" w:hAnsi="Times" w:cs="Times New Roman"/>
          <w:b/>
          <w:sz w:val="20"/>
          <w:szCs w:val="20"/>
          <w:lang w:val="cs-CZ"/>
        </w:rPr>
      </w:pPr>
      <w:r w:rsidRPr="00C2592A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Politická vůle k řešení problému korupce</w:t>
      </w:r>
    </w:p>
    <w:p w:rsidR="00D77FAD" w:rsidRPr="00740D94" w:rsidRDefault="00D77FAD" w:rsidP="00740D94">
      <w:pPr>
        <w:spacing w:after="200" w:line="360" w:lineRule="auto"/>
        <w:jc w:val="both"/>
        <w:rPr>
          <w:rFonts w:ascii="Times" w:hAnsi="Times" w:cs="Times New Roman"/>
          <w:sz w:val="20"/>
          <w:szCs w:val="20"/>
          <w:lang w:val="cs-CZ"/>
        </w:rPr>
      </w:pPr>
      <w:r w:rsidRPr="00740D94">
        <w:rPr>
          <w:rFonts w:ascii="Arial" w:hAnsi="Arial" w:cs="Arial"/>
          <w:sz w:val="22"/>
          <w:szCs w:val="22"/>
          <w:lang w:val="cs-CZ"/>
        </w:rPr>
        <w:t>Vláda</w:t>
      </w:r>
      <w:r w:rsidR="00E14B85" w:rsidRPr="00740D94">
        <w:rPr>
          <w:rFonts w:ascii="Arial" w:hAnsi="Arial" w:cs="Arial"/>
          <w:sz w:val="22"/>
          <w:szCs w:val="22"/>
          <w:lang w:val="cs-CZ"/>
        </w:rPr>
        <w:t xml:space="preserve"> je aktivní v přístupu k řešení korupce, přijala a realizuje akční plán a zapojila </w:t>
      </w:r>
      <w:r w:rsidR="002D1CF4" w:rsidRPr="00740D94">
        <w:rPr>
          <w:rFonts w:ascii="Arial" w:hAnsi="Arial" w:cs="Arial"/>
          <w:sz w:val="22"/>
          <w:szCs w:val="22"/>
          <w:lang w:val="cs-CZ"/>
        </w:rPr>
        <w:t>do jeho</w:t>
      </w:r>
      <w:r w:rsidR="00E14B85" w:rsidRPr="00740D94">
        <w:rPr>
          <w:rFonts w:ascii="Arial" w:hAnsi="Arial" w:cs="Arial"/>
          <w:sz w:val="22"/>
          <w:szCs w:val="22"/>
          <w:lang w:val="cs-CZ"/>
        </w:rPr>
        <w:t xml:space="preserve"> implementace </w:t>
      </w:r>
      <w:r w:rsidRPr="00740D94">
        <w:rPr>
          <w:rFonts w:ascii="Arial" w:hAnsi="Arial" w:cs="Arial"/>
          <w:sz w:val="22"/>
          <w:szCs w:val="22"/>
          <w:lang w:val="cs-CZ"/>
        </w:rPr>
        <w:t>občansk</w:t>
      </w:r>
      <w:r w:rsidR="00E14B85" w:rsidRPr="00740D94">
        <w:rPr>
          <w:rFonts w:ascii="Arial" w:hAnsi="Arial" w:cs="Arial"/>
          <w:sz w:val="22"/>
          <w:szCs w:val="22"/>
          <w:lang w:val="cs-CZ"/>
        </w:rPr>
        <w:t>ou společnost</w:t>
      </w:r>
      <w:r w:rsidRPr="00740D94">
        <w:rPr>
          <w:rFonts w:ascii="Arial" w:hAnsi="Arial" w:cs="Arial"/>
          <w:sz w:val="22"/>
          <w:szCs w:val="22"/>
          <w:lang w:val="cs-CZ"/>
        </w:rPr>
        <w:t xml:space="preserve">. Akční </w:t>
      </w:r>
      <w:r w:rsidR="00A4393C" w:rsidRPr="00740D94">
        <w:rPr>
          <w:rFonts w:ascii="Arial" w:hAnsi="Arial" w:cs="Arial"/>
          <w:sz w:val="22"/>
          <w:szCs w:val="22"/>
          <w:lang w:val="cs-CZ"/>
        </w:rPr>
        <w:t>plá</w:t>
      </w:r>
      <w:r w:rsidRPr="00740D94">
        <w:rPr>
          <w:rFonts w:ascii="Arial" w:hAnsi="Arial" w:cs="Arial"/>
          <w:sz w:val="22"/>
          <w:szCs w:val="22"/>
          <w:lang w:val="cs-CZ"/>
        </w:rPr>
        <w:t xml:space="preserve">n obsahuje konkrétní úkoly se stanovenými termíny a byl aktualizován v roce 2014. Mimo tyto </w:t>
      </w:r>
      <w:r w:rsidR="00A4393C" w:rsidRPr="00740D94">
        <w:rPr>
          <w:rFonts w:ascii="Arial" w:hAnsi="Arial" w:cs="Arial"/>
          <w:sz w:val="22"/>
          <w:szCs w:val="22"/>
          <w:lang w:val="cs-CZ"/>
        </w:rPr>
        <w:t>ak</w:t>
      </w:r>
      <w:r w:rsidRPr="00740D94">
        <w:rPr>
          <w:rFonts w:ascii="Arial" w:hAnsi="Arial" w:cs="Arial"/>
          <w:sz w:val="22"/>
          <w:szCs w:val="22"/>
          <w:lang w:val="cs-CZ"/>
        </w:rPr>
        <w:t xml:space="preserve">tivity by však vláda měla podniknout praktické </w:t>
      </w:r>
      <w:r w:rsidR="00A4393C" w:rsidRPr="00740D94">
        <w:rPr>
          <w:rFonts w:ascii="Arial" w:hAnsi="Arial" w:cs="Arial"/>
          <w:sz w:val="22"/>
          <w:szCs w:val="22"/>
          <w:lang w:val="cs-CZ"/>
        </w:rPr>
        <w:t xml:space="preserve">kroky k zajištění dodržování </w:t>
      </w:r>
      <w:r w:rsidR="002D1CF4">
        <w:rPr>
          <w:rFonts w:ascii="Arial" w:hAnsi="Arial" w:cs="Arial"/>
          <w:sz w:val="22"/>
          <w:szCs w:val="22"/>
          <w:lang w:val="cs-CZ"/>
        </w:rPr>
        <w:t xml:space="preserve">všech </w:t>
      </w:r>
      <w:r w:rsidR="00A4393C" w:rsidRPr="00740D94">
        <w:rPr>
          <w:rFonts w:ascii="Arial" w:hAnsi="Arial" w:cs="Arial"/>
          <w:sz w:val="22"/>
          <w:szCs w:val="22"/>
          <w:lang w:val="cs-CZ"/>
        </w:rPr>
        <w:t>právních norem</w:t>
      </w:r>
      <w:r w:rsidR="00E14B85" w:rsidRPr="00740D94">
        <w:rPr>
          <w:rFonts w:ascii="Arial" w:hAnsi="Arial" w:cs="Arial"/>
          <w:sz w:val="22"/>
          <w:szCs w:val="22"/>
          <w:lang w:val="cs-CZ"/>
        </w:rPr>
        <w:t xml:space="preserve"> a mezinárodních </w:t>
      </w:r>
      <w:r w:rsidR="00740D94" w:rsidRPr="00740D94">
        <w:rPr>
          <w:rFonts w:ascii="Arial" w:hAnsi="Arial" w:cs="Arial"/>
          <w:sz w:val="22"/>
          <w:szCs w:val="22"/>
          <w:lang w:val="cs-CZ"/>
        </w:rPr>
        <w:t>standardů vyplývajících</w:t>
      </w:r>
      <w:r w:rsidR="00E14B85" w:rsidRPr="00740D94">
        <w:rPr>
          <w:rFonts w:ascii="Arial" w:hAnsi="Arial" w:cs="Arial"/>
          <w:sz w:val="22"/>
          <w:szCs w:val="22"/>
          <w:lang w:val="cs-CZ"/>
        </w:rPr>
        <w:t xml:space="preserve"> z </w:t>
      </w:r>
      <w:r w:rsidR="009A3901" w:rsidRPr="00740D94">
        <w:rPr>
          <w:rFonts w:ascii="Arial" w:hAnsi="Arial" w:cs="Arial"/>
          <w:sz w:val="22"/>
          <w:szCs w:val="22"/>
          <w:lang w:val="cs-CZ"/>
        </w:rPr>
        <w:t>ratifikovaný</w:t>
      </w:r>
      <w:r w:rsidR="00E14B85" w:rsidRPr="00740D94">
        <w:rPr>
          <w:rFonts w:ascii="Arial" w:hAnsi="Arial" w:cs="Arial"/>
          <w:sz w:val="22"/>
          <w:szCs w:val="22"/>
          <w:lang w:val="cs-CZ"/>
        </w:rPr>
        <w:t>ch mezinárodních dokumentů</w:t>
      </w:r>
      <w:r w:rsidR="00A4393C" w:rsidRPr="00740D94">
        <w:rPr>
          <w:rFonts w:ascii="Arial" w:hAnsi="Arial" w:cs="Arial"/>
          <w:sz w:val="22"/>
          <w:szCs w:val="22"/>
          <w:lang w:val="cs-CZ"/>
        </w:rPr>
        <w:t>,</w:t>
      </w:r>
      <w:r w:rsidRPr="00740D94">
        <w:rPr>
          <w:rFonts w:ascii="Arial" w:hAnsi="Arial" w:cs="Arial"/>
          <w:sz w:val="22"/>
          <w:szCs w:val="22"/>
          <w:lang w:val="cs-CZ"/>
        </w:rPr>
        <w:t xml:space="preserve"> jako jsou</w:t>
      </w:r>
      <w:r w:rsidR="00A4393C" w:rsidRPr="00740D94">
        <w:rPr>
          <w:rFonts w:ascii="Arial" w:hAnsi="Arial" w:cs="Arial"/>
          <w:sz w:val="22"/>
          <w:szCs w:val="22"/>
          <w:lang w:val="cs-CZ"/>
        </w:rPr>
        <w:t xml:space="preserve"> K</w:t>
      </w:r>
      <w:r w:rsidRPr="00740D94">
        <w:rPr>
          <w:rFonts w:ascii="Arial" w:hAnsi="Arial" w:cs="Arial"/>
          <w:sz w:val="22"/>
          <w:szCs w:val="22"/>
          <w:lang w:val="cs-CZ"/>
        </w:rPr>
        <w:t>onvence OECD a UNCAC.</w:t>
      </w:r>
    </w:p>
    <w:p w:rsidR="00D77FAD" w:rsidRPr="00740D94" w:rsidRDefault="00E14B85" w:rsidP="00740D94">
      <w:pPr>
        <w:spacing w:after="200" w:line="360" w:lineRule="auto"/>
        <w:jc w:val="both"/>
        <w:rPr>
          <w:rFonts w:ascii="Times" w:hAnsi="Times" w:cs="Times New Roman"/>
          <w:sz w:val="20"/>
          <w:szCs w:val="20"/>
          <w:lang w:val="cs-CZ"/>
        </w:rPr>
      </w:pPr>
      <w:r w:rsidRPr="00740D94">
        <w:rPr>
          <w:rFonts w:ascii="Arial" w:hAnsi="Arial" w:cs="Arial"/>
          <w:sz w:val="22"/>
          <w:szCs w:val="22"/>
          <w:lang w:val="cs-CZ"/>
        </w:rPr>
        <w:t>Z hlediska resortu obrany s</w:t>
      </w:r>
      <w:r w:rsidR="00D77FAD" w:rsidRPr="00740D94">
        <w:rPr>
          <w:rFonts w:ascii="Arial" w:hAnsi="Arial" w:cs="Arial"/>
          <w:sz w:val="22"/>
          <w:szCs w:val="22"/>
          <w:lang w:val="cs-CZ"/>
        </w:rPr>
        <w:t>trategické dokumenty</w:t>
      </w:r>
      <w:r w:rsidRPr="00740D94">
        <w:rPr>
          <w:rFonts w:ascii="Arial" w:hAnsi="Arial" w:cs="Arial"/>
          <w:sz w:val="22"/>
          <w:szCs w:val="22"/>
          <w:lang w:val="cs-CZ"/>
        </w:rPr>
        <w:t>,</w:t>
      </w:r>
      <w:r w:rsidR="00152FE6" w:rsidRPr="00740D94">
        <w:rPr>
          <w:rFonts w:ascii="Arial" w:hAnsi="Arial" w:cs="Arial"/>
          <w:sz w:val="22"/>
          <w:szCs w:val="22"/>
          <w:lang w:val="cs-CZ"/>
        </w:rPr>
        <w:t xml:space="preserve"> </w:t>
      </w:r>
      <w:r w:rsidR="00165D7C" w:rsidRPr="00740D94">
        <w:rPr>
          <w:rFonts w:ascii="Arial" w:hAnsi="Arial" w:cs="Arial"/>
          <w:sz w:val="22"/>
          <w:szCs w:val="22"/>
          <w:lang w:val="cs-CZ"/>
        </w:rPr>
        <w:t>jako</w:t>
      </w:r>
      <w:r w:rsidR="00165D7C">
        <w:rPr>
          <w:rFonts w:ascii="Arial" w:hAnsi="Arial" w:cs="Arial"/>
          <w:sz w:val="22"/>
          <w:szCs w:val="22"/>
          <w:lang w:val="cs-CZ"/>
        </w:rPr>
        <w:t xml:space="preserve"> </w:t>
      </w:r>
      <w:r w:rsidR="00165D7C" w:rsidRPr="00740D94">
        <w:rPr>
          <w:rFonts w:ascii="Arial" w:hAnsi="Arial" w:cs="Arial"/>
          <w:sz w:val="22"/>
          <w:szCs w:val="22"/>
          <w:lang w:val="cs-CZ"/>
        </w:rPr>
        <w:t>Národní</w:t>
      </w:r>
      <w:r w:rsidR="00A4393C" w:rsidRPr="00740D94">
        <w:rPr>
          <w:rFonts w:ascii="Arial" w:hAnsi="Arial" w:cs="Arial"/>
          <w:sz w:val="22"/>
          <w:szCs w:val="22"/>
          <w:lang w:val="cs-CZ"/>
        </w:rPr>
        <w:t xml:space="preserve"> strat</w:t>
      </w:r>
      <w:r w:rsidR="007C10BA" w:rsidRPr="00740D94">
        <w:rPr>
          <w:rFonts w:ascii="Arial" w:hAnsi="Arial" w:cs="Arial"/>
          <w:sz w:val="22"/>
          <w:szCs w:val="22"/>
          <w:lang w:val="cs-CZ"/>
        </w:rPr>
        <w:t>egie vyzbrojování a</w:t>
      </w:r>
      <w:r w:rsidR="00A4393C" w:rsidRPr="00740D94">
        <w:rPr>
          <w:rFonts w:ascii="Arial" w:hAnsi="Arial" w:cs="Arial"/>
          <w:sz w:val="22"/>
          <w:szCs w:val="22"/>
          <w:lang w:val="cs-CZ"/>
        </w:rPr>
        <w:t xml:space="preserve"> </w:t>
      </w:r>
      <w:r w:rsidR="00152FE6" w:rsidRPr="00740D94">
        <w:rPr>
          <w:rFonts w:ascii="Arial" w:hAnsi="Arial" w:cs="Arial"/>
          <w:sz w:val="22"/>
          <w:szCs w:val="22"/>
          <w:lang w:val="cs-CZ"/>
        </w:rPr>
        <w:t>Bílá kniha</w:t>
      </w:r>
      <w:r w:rsidR="007C10BA" w:rsidRPr="00740D94">
        <w:rPr>
          <w:rFonts w:ascii="Arial" w:hAnsi="Arial" w:cs="Arial"/>
          <w:sz w:val="22"/>
          <w:szCs w:val="22"/>
          <w:lang w:val="cs-CZ"/>
        </w:rPr>
        <w:t xml:space="preserve"> o obraně</w:t>
      </w:r>
      <w:r w:rsidR="00152FE6" w:rsidRPr="00740D94">
        <w:rPr>
          <w:rFonts w:ascii="Arial" w:hAnsi="Arial" w:cs="Arial"/>
          <w:sz w:val="22"/>
          <w:szCs w:val="22"/>
          <w:lang w:val="cs-CZ"/>
        </w:rPr>
        <w:t xml:space="preserve"> nejsou ucelené a </w:t>
      </w:r>
      <w:r w:rsidR="009A3901" w:rsidRPr="00740D94">
        <w:rPr>
          <w:rFonts w:ascii="Arial" w:hAnsi="Arial" w:cs="Arial"/>
          <w:sz w:val="22"/>
          <w:szCs w:val="22"/>
          <w:lang w:val="cs-CZ"/>
        </w:rPr>
        <w:t xml:space="preserve">důsledně </w:t>
      </w:r>
      <w:r w:rsidR="00152FE6" w:rsidRPr="00740D94">
        <w:rPr>
          <w:rFonts w:ascii="Arial" w:hAnsi="Arial" w:cs="Arial"/>
          <w:sz w:val="22"/>
          <w:szCs w:val="22"/>
          <w:lang w:val="cs-CZ"/>
        </w:rPr>
        <w:t>neovlivňují politická a rozpo</w:t>
      </w:r>
      <w:r w:rsidR="007C10BA" w:rsidRPr="00740D94">
        <w:rPr>
          <w:rFonts w:ascii="Arial" w:hAnsi="Arial" w:cs="Arial"/>
          <w:sz w:val="22"/>
          <w:szCs w:val="22"/>
          <w:lang w:val="cs-CZ"/>
        </w:rPr>
        <w:t>čtová rozhodnutí. Vláda by měla</w:t>
      </w:r>
      <w:r w:rsidR="00152FE6" w:rsidRPr="00740D94">
        <w:rPr>
          <w:rFonts w:ascii="Arial" w:hAnsi="Arial" w:cs="Arial"/>
          <w:sz w:val="22"/>
          <w:szCs w:val="22"/>
          <w:lang w:val="cs-CZ"/>
        </w:rPr>
        <w:t xml:space="preserve"> podnik</w:t>
      </w:r>
      <w:r w:rsidR="00A4393C" w:rsidRPr="00740D94">
        <w:rPr>
          <w:rFonts w:ascii="Arial" w:hAnsi="Arial" w:cs="Arial"/>
          <w:sz w:val="22"/>
          <w:szCs w:val="22"/>
          <w:lang w:val="cs-CZ"/>
        </w:rPr>
        <w:t>n</w:t>
      </w:r>
      <w:r w:rsidR="00152FE6" w:rsidRPr="00740D94">
        <w:rPr>
          <w:rFonts w:ascii="Arial" w:hAnsi="Arial" w:cs="Arial"/>
          <w:sz w:val="22"/>
          <w:szCs w:val="22"/>
          <w:lang w:val="cs-CZ"/>
        </w:rPr>
        <w:t>out praktické kroky</w:t>
      </w:r>
      <w:r w:rsidR="00A00DBD" w:rsidRPr="00740D94">
        <w:rPr>
          <w:rFonts w:ascii="Arial" w:hAnsi="Arial" w:cs="Arial"/>
          <w:sz w:val="22"/>
          <w:szCs w:val="22"/>
          <w:lang w:val="cs-CZ"/>
        </w:rPr>
        <w:t>,</w:t>
      </w:r>
      <w:r w:rsidR="00152FE6" w:rsidRPr="00740D94">
        <w:rPr>
          <w:rFonts w:ascii="Arial" w:hAnsi="Arial" w:cs="Arial"/>
          <w:sz w:val="22"/>
          <w:szCs w:val="22"/>
          <w:lang w:val="cs-CZ"/>
        </w:rPr>
        <w:t xml:space="preserve"> </w:t>
      </w:r>
      <w:r w:rsidR="00A00DBD" w:rsidRPr="00740D94">
        <w:rPr>
          <w:rFonts w:ascii="Arial" w:hAnsi="Arial" w:cs="Arial"/>
          <w:sz w:val="22"/>
          <w:szCs w:val="22"/>
          <w:lang w:val="cs-CZ"/>
        </w:rPr>
        <w:t>aby tyto dokumenty byly konzistentní a aby se aktivně používaly jako základ pro po</w:t>
      </w:r>
      <w:r w:rsidR="00165D7C">
        <w:rPr>
          <w:rFonts w:ascii="Arial" w:hAnsi="Arial" w:cs="Arial"/>
          <w:sz w:val="22"/>
          <w:szCs w:val="22"/>
          <w:lang w:val="cs-CZ"/>
        </w:rPr>
        <w:t>litická a rozpočtová rozhodnutí (pozn. Dokument „Dlouhodobý výhled pro obranu 2030“ byl přijat až po zpracování studie).</w:t>
      </w:r>
    </w:p>
    <w:p w:rsidR="00A00DBD" w:rsidRPr="002D1CF4" w:rsidRDefault="00E14B85" w:rsidP="00740D94">
      <w:pPr>
        <w:spacing w:after="20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cs-CZ"/>
        </w:rPr>
      </w:pPr>
      <w:r w:rsidRPr="002D1CF4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Jmenování a </w:t>
      </w:r>
      <w:r w:rsidR="00740D94" w:rsidRPr="002D1CF4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povyšování</w:t>
      </w:r>
      <w:r w:rsidRPr="002D1CF4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 xml:space="preserve"> </w:t>
      </w:r>
    </w:p>
    <w:p w:rsidR="00BF4F8C" w:rsidRPr="00C2592A" w:rsidRDefault="00AE3058" w:rsidP="0004665F">
      <w:pPr>
        <w:spacing w:after="200" w:line="360" w:lineRule="auto"/>
        <w:jc w:val="both"/>
        <w:rPr>
          <w:rFonts w:ascii="Times" w:hAnsi="Times" w:cs="Times New Roman"/>
          <w:sz w:val="20"/>
          <w:szCs w:val="20"/>
          <w:lang w:val="cs-CZ"/>
        </w:rPr>
      </w:pPr>
      <w:r w:rsidRPr="00740D94">
        <w:rPr>
          <w:rFonts w:ascii="Arial" w:hAnsi="Arial" w:cs="Arial"/>
          <w:bCs/>
          <w:sz w:val="22"/>
          <w:szCs w:val="22"/>
          <w:lang w:val="cs-CZ"/>
        </w:rPr>
        <w:t xml:space="preserve">Objevila se podezření, že některá jmenování do funkcí proběhla netransparentně a </w:t>
      </w:r>
      <w:r w:rsidR="009A3901" w:rsidRPr="00740D94">
        <w:rPr>
          <w:rFonts w:ascii="Arial" w:hAnsi="Arial" w:cs="Arial"/>
          <w:bCs/>
          <w:sz w:val="22"/>
          <w:szCs w:val="22"/>
          <w:lang w:val="cs-CZ"/>
        </w:rPr>
        <w:t xml:space="preserve">naznačovala </w:t>
      </w:r>
      <w:r w:rsidRPr="00740D94">
        <w:rPr>
          <w:rFonts w:ascii="Arial" w:hAnsi="Arial" w:cs="Arial"/>
          <w:bCs/>
          <w:sz w:val="22"/>
          <w:szCs w:val="22"/>
          <w:lang w:val="cs-CZ"/>
        </w:rPr>
        <w:t xml:space="preserve">nepotismus a politické trafiky. Nelze dohledat žádné doklady formálního nezávislého výběru a </w:t>
      </w:r>
      <w:r w:rsidR="009A3901" w:rsidRPr="00740D94">
        <w:rPr>
          <w:rFonts w:ascii="Arial" w:hAnsi="Arial" w:cs="Arial"/>
          <w:bCs/>
          <w:sz w:val="22"/>
          <w:szCs w:val="22"/>
          <w:lang w:val="cs-CZ"/>
        </w:rPr>
        <w:t xml:space="preserve">postupu </w:t>
      </w:r>
      <w:r w:rsidRPr="00740D94">
        <w:rPr>
          <w:rFonts w:ascii="Arial" w:hAnsi="Arial" w:cs="Arial"/>
          <w:bCs/>
          <w:sz w:val="22"/>
          <w:szCs w:val="22"/>
          <w:lang w:val="cs-CZ"/>
        </w:rPr>
        <w:t>při povýšení. Doporučujeme, aby implementace nedávné novely zákona č. 221/1991 Sb.</w:t>
      </w:r>
      <w:r w:rsidR="00740D94" w:rsidRPr="00740D94">
        <w:rPr>
          <w:rFonts w:ascii="Arial" w:hAnsi="Arial" w:cs="Arial"/>
          <w:bCs/>
          <w:sz w:val="22"/>
          <w:szCs w:val="22"/>
          <w:lang w:val="cs-CZ"/>
        </w:rPr>
        <w:t>,</w:t>
      </w:r>
      <w:r w:rsidRPr="00740D94">
        <w:rPr>
          <w:rFonts w:ascii="Arial" w:hAnsi="Arial" w:cs="Arial"/>
          <w:bCs/>
          <w:sz w:val="22"/>
          <w:szCs w:val="22"/>
          <w:lang w:val="cs-CZ"/>
        </w:rPr>
        <w:t xml:space="preserve"> o vojácích z</w:t>
      </w:r>
      <w:r w:rsidR="002D1CF4">
        <w:rPr>
          <w:rFonts w:ascii="Arial" w:hAnsi="Arial" w:cs="Arial"/>
          <w:bCs/>
          <w:sz w:val="22"/>
          <w:szCs w:val="22"/>
          <w:lang w:val="cs-CZ"/>
        </w:rPr>
        <w:t> </w:t>
      </w:r>
      <w:r w:rsidRPr="00740D94">
        <w:rPr>
          <w:rFonts w:ascii="Arial" w:hAnsi="Arial" w:cs="Arial"/>
          <w:bCs/>
          <w:sz w:val="22"/>
          <w:szCs w:val="22"/>
          <w:lang w:val="cs-CZ"/>
        </w:rPr>
        <w:t>povolání</w:t>
      </w:r>
      <w:r w:rsidR="002D1CF4">
        <w:rPr>
          <w:rFonts w:ascii="Arial" w:hAnsi="Arial" w:cs="Arial"/>
          <w:bCs/>
          <w:sz w:val="22"/>
          <w:szCs w:val="22"/>
          <w:lang w:val="cs-CZ"/>
        </w:rPr>
        <w:t>,</w:t>
      </w:r>
      <w:r w:rsidRPr="00740D94">
        <w:rPr>
          <w:rFonts w:ascii="Arial" w:hAnsi="Arial" w:cs="Arial"/>
          <w:bCs/>
          <w:sz w:val="22"/>
          <w:szCs w:val="22"/>
          <w:lang w:val="cs-CZ"/>
        </w:rPr>
        <w:t xml:space="preserve"> byla prioritou rezortu a aby </w:t>
      </w:r>
      <w:r w:rsidR="009A3901" w:rsidRPr="00740D94">
        <w:rPr>
          <w:rFonts w:ascii="Arial" w:hAnsi="Arial" w:cs="Arial"/>
          <w:bCs/>
          <w:sz w:val="22"/>
          <w:szCs w:val="22"/>
          <w:lang w:val="cs-CZ"/>
        </w:rPr>
        <w:t xml:space="preserve">byly napraveny </w:t>
      </w:r>
      <w:r w:rsidRPr="00740D94">
        <w:rPr>
          <w:rFonts w:ascii="Arial" w:hAnsi="Arial" w:cs="Arial"/>
          <w:bCs/>
          <w:sz w:val="22"/>
          <w:szCs w:val="22"/>
          <w:lang w:val="cs-CZ"/>
        </w:rPr>
        <w:t xml:space="preserve">procedurální nedostatky v systému jmenování a povýšení a tak byla zachována efektivita ozbrojených složek. To by mělo zahrnovat nezávislý, transparentní a objektivní systém výběru vojenského personálu </w:t>
      </w:r>
      <w:r w:rsidR="009A3901" w:rsidRPr="00740D94">
        <w:rPr>
          <w:rFonts w:ascii="Arial" w:hAnsi="Arial" w:cs="Arial"/>
          <w:bCs/>
          <w:sz w:val="22"/>
          <w:szCs w:val="22"/>
          <w:lang w:val="cs-CZ"/>
        </w:rPr>
        <w:t>při jmenování do funkcí středního a vysokého man</w:t>
      </w:r>
      <w:r w:rsidR="0004665F">
        <w:rPr>
          <w:rFonts w:ascii="Arial" w:hAnsi="Arial" w:cs="Arial"/>
          <w:bCs/>
          <w:sz w:val="22"/>
          <w:szCs w:val="22"/>
          <w:lang w:val="cs-CZ"/>
        </w:rPr>
        <w:t>a</w:t>
      </w:r>
      <w:r w:rsidR="009A3901" w:rsidRPr="00740D94">
        <w:rPr>
          <w:rFonts w:ascii="Arial" w:hAnsi="Arial" w:cs="Arial"/>
          <w:bCs/>
          <w:sz w:val="22"/>
          <w:szCs w:val="22"/>
          <w:lang w:val="cs-CZ"/>
        </w:rPr>
        <w:t>gementu</w:t>
      </w:r>
      <w:r w:rsidR="00740D94" w:rsidRPr="00740D94">
        <w:rPr>
          <w:rFonts w:ascii="Arial" w:hAnsi="Arial" w:cs="Arial"/>
          <w:bCs/>
          <w:sz w:val="22"/>
          <w:szCs w:val="22"/>
          <w:lang w:val="cs-CZ"/>
        </w:rPr>
        <w:t>,</w:t>
      </w:r>
      <w:r w:rsidR="007E5758" w:rsidRPr="00740D94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740D94">
        <w:rPr>
          <w:rFonts w:ascii="Arial" w:hAnsi="Arial" w:cs="Arial"/>
          <w:bCs/>
          <w:sz w:val="22"/>
          <w:szCs w:val="22"/>
          <w:lang w:val="cs-CZ"/>
        </w:rPr>
        <w:t xml:space="preserve">včetně zpravodajské služby. Doporučujeme, aby osobní povýšení byla vždy </w:t>
      </w:r>
      <w:r w:rsidRPr="00740D94">
        <w:rPr>
          <w:rFonts w:ascii="Arial" w:hAnsi="Arial" w:cs="Arial"/>
          <w:bCs/>
          <w:sz w:val="22"/>
          <w:szCs w:val="22"/>
          <w:lang w:val="cs-CZ"/>
        </w:rPr>
        <w:lastRenderedPageBreak/>
        <w:t xml:space="preserve">prováděna na základě objektivních, meritokratických procesů, například </w:t>
      </w:r>
      <w:r w:rsidR="007E5758" w:rsidRPr="00740D94">
        <w:rPr>
          <w:rFonts w:ascii="Arial" w:hAnsi="Arial" w:cs="Arial"/>
          <w:bCs/>
          <w:sz w:val="22"/>
          <w:szCs w:val="22"/>
          <w:lang w:val="cs-CZ"/>
        </w:rPr>
        <w:t>prostřednictvím</w:t>
      </w:r>
      <w:r w:rsidRPr="00740D94">
        <w:rPr>
          <w:rFonts w:ascii="Arial" w:hAnsi="Arial" w:cs="Arial"/>
          <w:bCs/>
          <w:sz w:val="22"/>
          <w:szCs w:val="22"/>
          <w:lang w:val="cs-CZ"/>
        </w:rPr>
        <w:t xml:space="preserve"> výběrových komisí</w:t>
      </w:r>
      <w:r w:rsidR="007E5758" w:rsidRPr="00740D94">
        <w:rPr>
          <w:rFonts w:ascii="Arial" w:hAnsi="Arial" w:cs="Arial"/>
          <w:bCs/>
          <w:sz w:val="22"/>
          <w:szCs w:val="22"/>
          <w:lang w:val="cs-CZ"/>
        </w:rPr>
        <w:t xml:space="preserve"> mimo velící struktury</w:t>
      </w:r>
      <w:r w:rsidRPr="00740D94">
        <w:rPr>
          <w:rFonts w:ascii="Arial" w:hAnsi="Arial" w:cs="Arial"/>
          <w:bCs/>
          <w:sz w:val="22"/>
          <w:szCs w:val="22"/>
          <w:lang w:val="cs-CZ"/>
        </w:rPr>
        <w:t xml:space="preserve"> s formálními hodnotícími procesy a s nezávislým dohledem.</w:t>
      </w:r>
    </w:p>
    <w:p w:rsidR="00391AE1" w:rsidRPr="00C2592A" w:rsidRDefault="00391AE1" w:rsidP="00740D94">
      <w:pPr>
        <w:spacing w:after="200" w:line="360" w:lineRule="auto"/>
        <w:jc w:val="both"/>
        <w:rPr>
          <w:rFonts w:ascii="Times" w:hAnsi="Times" w:cs="Times New Roman"/>
          <w:b/>
          <w:sz w:val="20"/>
          <w:szCs w:val="20"/>
          <w:lang w:val="cs-CZ"/>
        </w:rPr>
      </w:pPr>
      <w:r w:rsidRPr="00C2592A">
        <w:rPr>
          <w:rFonts w:ascii="Arial" w:hAnsi="Arial" w:cs="Arial"/>
          <w:b/>
          <w:bCs/>
          <w:color w:val="000000"/>
          <w:sz w:val="22"/>
          <w:szCs w:val="22"/>
          <w:lang w:val="cs-CZ"/>
        </w:rPr>
        <w:t>Nákupy v rezortu obrany</w:t>
      </w:r>
    </w:p>
    <w:p w:rsidR="002D1CF4" w:rsidRPr="0004665F" w:rsidRDefault="00C63F47" w:rsidP="0004665F">
      <w:pPr>
        <w:spacing w:after="200" w:line="360" w:lineRule="auto"/>
        <w:jc w:val="both"/>
        <w:rPr>
          <w:rFonts w:ascii="Times" w:hAnsi="Times" w:cs="Times New Roman"/>
          <w:sz w:val="20"/>
          <w:szCs w:val="20"/>
          <w:lang w:val="cs-CZ"/>
        </w:rPr>
      </w:pPr>
      <w:r w:rsidRPr="00C2592A">
        <w:rPr>
          <w:rFonts w:ascii="Arial" w:hAnsi="Arial" w:cs="Arial"/>
          <w:sz w:val="22"/>
          <w:szCs w:val="22"/>
          <w:lang w:val="cs-CZ"/>
        </w:rPr>
        <w:t>ÚOHS</w:t>
      </w:r>
      <w:r w:rsidR="003C58DE" w:rsidRPr="00C2592A">
        <w:rPr>
          <w:rFonts w:ascii="Arial" w:hAnsi="Arial" w:cs="Arial"/>
          <w:sz w:val="22"/>
          <w:szCs w:val="22"/>
          <w:lang w:val="cs-CZ"/>
        </w:rPr>
        <w:t>, jako nezávislá instituce,</w:t>
      </w:r>
      <w:r w:rsidRPr="00C2592A">
        <w:rPr>
          <w:rFonts w:ascii="Arial" w:hAnsi="Arial" w:cs="Arial"/>
          <w:sz w:val="22"/>
          <w:szCs w:val="22"/>
          <w:lang w:val="cs-CZ"/>
        </w:rPr>
        <w:t xml:space="preserve"> identifikoval</w:t>
      </w:r>
      <w:r w:rsidR="00391AE1" w:rsidRPr="00C2592A">
        <w:rPr>
          <w:rFonts w:ascii="Arial" w:hAnsi="Arial" w:cs="Arial"/>
          <w:sz w:val="22"/>
          <w:szCs w:val="22"/>
          <w:lang w:val="cs-CZ"/>
        </w:rPr>
        <w:t xml:space="preserve"> nejméně jeden velký případ </w:t>
      </w:r>
      <w:r w:rsidR="004C6845" w:rsidRPr="00C2592A">
        <w:rPr>
          <w:rFonts w:ascii="Arial" w:hAnsi="Arial" w:cs="Arial"/>
          <w:sz w:val="22"/>
          <w:szCs w:val="22"/>
          <w:lang w:val="cs-CZ"/>
        </w:rPr>
        <w:t xml:space="preserve">kartelové </w:t>
      </w:r>
      <w:r w:rsidR="00391AE1" w:rsidRPr="00C2592A">
        <w:rPr>
          <w:rFonts w:ascii="Arial" w:hAnsi="Arial" w:cs="Arial"/>
          <w:sz w:val="22"/>
          <w:szCs w:val="22"/>
          <w:lang w:val="cs-CZ"/>
        </w:rPr>
        <w:t>doh</w:t>
      </w:r>
      <w:r w:rsidR="003C58DE" w:rsidRPr="00C2592A">
        <w:rPr>
          <w:rFonts w:ascii="Arial" w:hAnsi="Arial" w:cs="Arial"/>
          <w:sz w:val="22"/>
          <w:szCs w:val="22"/>
          <w:lang w:val="cs-CZ"/>
        </w:rPr>
        <w:t>ody, která byla úspěšně stíhána. Ú</w:t>
      </w:r>
      <w:r w:rsidRPr="00C2592A">
        <w:rPr>
          <w:rFonts w:ascii="Arial" w:hAnsi="Arial" w:cs="Arial"/>
          <w:sz w:val="22"/>
          <w:szCs w:val="22"/>
          <w:lang w:val="cs-CZ"/>
        </w:rPr>
        <w:t>řad je</w:t>
      </w:r>
      <w:r w:rsidR="003C58DE" w:rsidRPr="00C2592A">
        <w:rPr>
          <w:rFonts w:ascii="Arial" w:hAnsi="Arial" w:cs="Arial"/>
          <w:sz w:val="22"/>
          <w:szCs w:val="22"/>
          <w:lang w:val="cs-CZ"/>
        </w:rPr>
        <w:t xml:space="preserve"> však</w:t>
      </w:r>
      <w:r w:rsidRPr="00C2592A">
        <w:rPr>
          <w:rFonts w:ascii="Arial" w:hAnsi="Arial" w:cs="Arial"/>
          <w:sz w:val="22"/>
          <w:szCs w:val="22"/>
          <w:lang w:val="cs-CZ"/>
        </w:rPr>
        <w:t xml:space="preserve"> dlouhodobě kritizován pro</w:t>
      </w:r>
      <w:r w:rsidR="00391AE1" w:rsidRPr="00C2592A">
        <w:rPr>
          <w:rFonts w:ascii="Arial" w:hAnsi="Arial" w:cs="Arial"/>
          <w:sz w:val="22"/>
          <w:szCs w:val="22"/>
          <w:lang w:val="cs-CZ"/>
        </w:rPr>
        <w:t xml:space="preserve"> nedostatečnou kapacitu</w:t>
      </w:r>
      <w:r w:rsidR="004C6845" w:rsidRPr="00C2592A">
        <w:rPr>
          <w:rFonts w:ascii="Arial" w:hAnsi="Arial" w:cs="Arial"/>
          <w:sz w:val="22"/>
          <w:szCs w:val="22"/>
          <w:lang w:val="cs-CZ"/>
        </w:rPr>
        <w:t xml:space="preserve">. </w:t>
      </w:r>
      <w:r w:rsidR="00C2592A" w:rsidRPr="00C2592A">
        <w:rPr>
          <w:rFonts w:ascii="Arial" w:hAnsi="Arial" w:cs="Arial"/>
          <w:sz w:val="22"/>
          <w:szCs w:val="22"/>
          <w:lang w:val="cs-CZ"/>
        </w:rPr>
        <w:t xml:space="preserve">Studie </w:t>
      </w:r>
      <w:r w:rsidR="00807A35" w:rsidRPr="00C2592A">
        <w:rPr>
          <w:rFonts w:ascii="Arial" w:hAnsi="Arial" w:cs="Arial"/>
          <w:sz w:val="22"/>
          <w:szCs w:val="22"/>
          <w:lang w:val="cs-CZ"/>
        </w:rPr>
        <w:t>nezjistil</w:t>
      </w:r>
      <w:r w:rsidR="00C2592A" w:rsidRPr="00C2592A">
        <w:rPr>
          <w:rFonts w:ascii="Arial" w:hAnsi="Arial" w:cs="Arial"/>
          <w:sz w:val="22"/>
          <w:szCs w:val="22"/>
          <w:lang w:val="cs-CZ"/>
        </w:rPr>
        <w:t>a</w:t>
      </w:r>
      <w:r w:rsidR="00807A35" w:rsidRPr="00C2592A">
        <w:rPr>
          <w:rFonts w:ascii="Arial" w:hAnsi="Arial" w:cs="Arial"/>
          <w:sz w:val="22"/>
          <w:szCs w:val="22"/>
          <w:lang w:val="cs-CZ"/>
        </w:rPr>
        <w:t xml:space="preserve"> žádné informace, které by naznačovaly</w:t>
      </w:r>
      <w:r w:rsidRPr="00C2592A">
        <w:rPr>
          <w:rFonts w:ascii="Arial" w:hAnsi="Arial" w:cs="Arial"/>
          <w:sz w:val="22"/>
          <w:szCs w:val="22"/>
          <w:lang w:val="cs-CZ"/>
        </w:rPr>
        <w:t>, že klíčové aspekty f</w:t>
      </w:r>
      <w:r w:rsidR="008770E7" w:rsidRPr="00C2592A">
        <w:rPr>
          <w:rFonts w:ascii="Arial" w:hAnsi="Arial" w:cs="Arial"/>
          <w:sz w:val="22"/>
          <w:szCs w:val="22"/>
          <w:lang w:val="cs-CZ"/>
        </w:rPr>
        <w:t>inančních balí</w:t>
      </w:r>
      <w:r w:rsidR="007E5758" w:rsidRPr="00C2592A">
        <w:rPr>
          <w:rFonts w:ascii="Arial" w:hAnsi="Arial" w:cs="Arial"/>
          <w:sz w:val="22"/>
          <w:szCs w:val="22"/>
          <w:lang w:val="cs-CZ"/>
        </w:rPr>
        <w:t>č</w:t>
      </w:r>
      <w:r w:rsidRPr="00C2592A">
        <w:rPr>
          <w:rFonts w:ascii="Arial" w:hAnsi="Arial" w:cs="Arial"/>
          <w:sz w:val="22"/>
          <w:szCs w:val="22"/>
          <w:lang w:val="cs-CZ"/>
        </w:rPr>
        <w:t>ků (</w:t>
      </w:r>
      <w:r w:rsidR="008770E7" w:rsidRPr="00C2592A">
        <w:rPr>
          <w:rFonts w:ascii="Arial" w:hAnsi="Arial" w:cs="Arial"/>
          <w:sz w:val="22"/>
          <w:szCs w:val="22"/>
          <w:lang w:val="cs-CZ"/>
        </w:rPr>
        <w:t xml:space="preserve">jako jsou splátkové kalendáře, úrokové sazby a </w:t>
      </w:r>
      <w:r w:rsidR="00F455AF" w:rsidRPr="00C2592A">
        <w:rPr>
          <w:rFonts w:ascii="Arial" w:hAnsi="Arial" w:cs="Arial"/>
          <w:sz w:val="22"/>
          <w:szCs w:val="22"/>
          <w:lang w:val="cs-CZ"/>
        </w:rPr>
        <w:t>exportní úvěry</w:t>
      </w:r>
      <w:r w:rsidR="008770E7" w:rsidRPr="00C2592A">
        <w:rPr>
          <w:rFonts w:ascii="Arial" w:hAnsi="Arial" w:cs="Arial"/>
          <w:sz w:val="22"/>
          <w:szCs w:val="22"/>
          <w:lang w:val="cs-CZ"/>
        </w:rPr>
        <w:t>) jsou zve</w:t>
      </w:r>
      <w:r w:rsidRPr="00C2592A">
        <w:rPr>
          <w:rFonts w:ascii="Arial" w:hAnsi="Arial" w:cs="Arial"/>
          <w:sz w:val="22"/>
          <w:szCs w:val="22"/>
          <w:lang w:val="cs-CZ"/>
        </w:rPr>
        <w:t xml:space="preserve">řejňovány před uzavřením obchodu, ani že by vláda vyžadovala nebo pobízela dodavatele k přijetí protikorupčních programů. </w:t>
      </w:r>
      <w:r w:rsidR="002D1CF4">
        <w:rPr>
          <w:rFonts w:ascii="Arial" w:hAnsi="Arial" w:cs="Arial"/>
          <w:sz w:val="22"/>
          <w:szCs w:val="22"/>
          <w:lang w:val="cs-CZ"/>
        </w:rPr>
        <w:t>Vysoké</w:t>
      </w:r>
      <w:r w:rsidR="00C2592A" w:rsidRPr="00C2592A">
        <w:rPr>
          <w:rFonts w:ascii="Arial" w:hAnsi="Arial" w:cs="Arial"/>
          <w:sz w:val="22"/>
          <w:szCs w:val="22"/>
          <w:lang w:val="cs-CZ"/>
        </w:rPr>
        <w:t xml:space="preserve"> rizi</w:t>
      </w:r>
      <w:r w:rsidRPr="00C2592A">
        <w:rPr>
          <w:rFonts w:ascii="Arial" w:hAnsi="Arial" w:cs="Arial"/>
          <w:sz w:val="22"/>
          <w:szCs w:val="22"/>
          <w:lang w:val="cs-CZ"/>
        </w:rPr>
        <w:t>k</w:t>
      </w:r>
      <w:r w:rsidR="00C2592A" w:rsidRPr="00C2592A">
        <w:rPr>
          <w:rFonts w:ascii="Arial" w:hAnsi="Arial" w:cs="Arial"/>
          <w:sz w:val="22"/>
          <w:szCs w:val="22"/>
          <w:lang w:val="cs-CZ"/>
        </w:rPr>
        <w:t xml:space="preserve">o korupce, které se </w:t>
      </w:r>
      <w:r w:rsidR="002D1CF4">
        <w:rPr>
          <w:rFonts w:ascii="Arial" w:hAnsi="Arial" w:cs="Arial"/>
          <w:sz w:val="22"/>
          <w:szCs w:val="22"/>
          <w:lang w:val="cs-CZ"/>
        </w:rPr>
        <w:t>projevilo</w:t>
      </w:r>
      <w:r w:rsidR="00C2592A" w:rsidRPr="00C2592A">
        <w:rPr>
          <w:rFonts w:ascii="Arial" w:hAnsi="Arial" w:cs="Arial"/>
          <w:sz w:val="22"/>
          <w:szCs w:val="22"/>
          <w:lang w:val="cs-CZ"/>
        </w:rPr>
        <w:t xml:space="preserve"> v několika </w:t>
      </w:r>
      <w:r w:rsidR="00F455AF" w:rsidRPr="00C2592A">
        <w:rPr>
          <w:rFonts w:ascii="Arial" w:hAnsi="Arial" w:cs="Arial"/>
          <w:sz w:val="22"/>
          <w:szCs w:val="22"/>
          <w:lang w:val="cs-CZ"/>
        </w:rPr>
        <w:t>skandálech s nákupy vojenské techniky</w:t>
      </w:r>
      <w:r w:rsidR="0004665F">
        <w:rPr>
          <w:rFonts w:ascii="Arial" w:hAnsi="Arial" w:cs="Arial"/>
          <w:sz w:val="22"/>
          <w:szCs w:val="22"/>
          <w:lang w:val="cs-CZ"/>
        </w:rPr>
        <w:t>, odráží</w:t>
      </w:r>
      <w:r w:rsidR="00F455AF" w:rsidRPr="00C2592A">
        <w:rPr>
          <w:rFonts w:ascii="Arial" w:hAnsi="Arial" w:cs="Arial"/>
          <w:sz w:val="22"/>
          <w:szCs w:val="22"/>
          <w:lang w:val="cs-CZ"/>
        </w:rPr>
        <w:t xml:space="preserve"> nedostat</w:t>
      </w:r>
      <w:r w:rsidR="002D1CF4">
        <w:rPr>
          <w:rFonts w:ascii="Arial" w:hAnsi="Arial" w:cs="Arial"/>
          <w:sz w:val="22"/>
          <w:szCs w:val="22"/>
          <w:lang w:val="cs-CZ"/>
        </w:rPr>
        <w:t>e</w:t>
      </w:r>
      <w:r w:rsidR="00F455AF" w:rsidRPr="00C2592A">
        <w:rPr>
          <w:rFonts w:ascii="Arial" w:hAnsi="Arial" w:cs="Arial"/>
          <w:sz w:val="22"/>
          <w:szCs w:val="22"/>
          <w:lang w:val="cs-CZ"/>
        </w:rPr>
        <w:t>k kontroly a regulací při využívání služeb zprostředkovatelů v procesu nákupu</w:t>
      </w:r>
      <w:r w:rsidR="00C2592A" w:rsidRPr="00C2592A">
        <w:rPr>
          <w:rFonts w:ascii="Arial" w:hAnsi="Arial" w:cs="Arial"/>
          <w:sz w:val="22"/>
          <w:szCs w:val="22"/>
          <w:lang w:val="cs-CZ"/>
        </w:rPr>
        <w:t xml:space="preserve"> vojenské techniky</w:t>
      </w:r>
      <w:r w:rsidR="00F455AF" w:rsidRPr="00C2592A">
        <w:rPr>
          <w:rFonts w:ascii="Arial" w:hAnsi="Arial" w:cs="Arial"/>
          <w:sz w:val="22"/>
          <w:szCs w:val="22"/>
          <w:lang w:val="cs-CZ"/>
        </w:rPr>
        <w:t xml:space="preserve">, </w:t>
      </w:r>
      <w:r w:rsidR="0004665F">
        <w:rPr>
          <w:rFonts w:ascii="Arial" w:hAnsi="Arial" w:cs="Arial"/>
          <w:sz w:val="22"/>
          <w:szCs w:val="22"/>
          <w:lang w:val="cs-CZ"/>
        </w:rPr>
        <w:t>které</w:t>
      </w:r>
      <w:r w:rsidR="00F455AF" w:rsidRPr="00C2592A">
        <w:rPr>
          <w:rFonts w:ascii="Arial" w:hAnsi="Arial" w:cs="Arial"/>
          <w:sz w:val="22"/>
          <w:szCs w:val="22"/>
          <w:lang w:val="cs-CZ"/>
        </w:rPr>
        <w:t xml:space="preserve"> bylo ještě donedávna povinné.</w:t>
      </w:r>
      <w:r w:rsidR="00807A35" w:rsidRPr="00C2592A">
        <w:rPr>
          <w:rFonts w:ascii="Arial" w:hAnsi="Arial" w:cs="Arial"/>
          <w:sz w:val="22"/>
          <w:szCs w:val="22"/>
          <w:lang w:val="cs-CZ"/>
        </w:rPr>
        <w:t xml:space="preserve"> Doporučujeme, aby zprostředkovatelé byli </w:t>
      </w:r>
      <w:r w:rsidR="00AE3058" w:rsidRPr="00C2592A">
        <w:rPr>
          <w:rFonts w:ascii="Arial" w:hAnsi="Arial" w:cs="Arial"/>
          <w:sz w:val="22"/>
          <w:szCs w:val="22"/>
          <w:lang w:val="cs-CZ"/>
        </w:rPr>
        <w:t xml:space="preserve">v rámci kontrol </w:t>
      </w:r>
      <w:r w:rsidR="00807A35" w:rsidRPr="00C2592A">
        <w:rPr>
          <w:rFonts w:ascii="Arial" w:hAnsi="Arial" w:cs="Arial"/>
          <w:sz w:val="22"/>
          <w:szCs w:val="22"/>
          <w:lang w:val="cs-CZ"/>
        </w:rPr>
        <w:t>pod přísným dohledem</w:t>
      </w:r>
      <w:r w:rsidR="00AE3058" w:rsidRPr="00C2592A">
        <w:rPr>
          <w:rFonts w:ascii="Arial" w:hAnsi="Arial" w:cs="Arial"/>
          <w:sz w:val="22"/>
          <w:szCs w:val="22"/>
          <w:lang w:val="cs-CZ"/>
        </w:rPr>
        <w:t xml:space="preserve">, aby bylo zajištěno, </w:t>
      </w:r>
      <w:r w:rsidR="00807A35" w:rsidRPr="00C2592A">
        <w:rPr>
          <w:rFonts w:ascii="Arial" w:hAnsi="Arial" w:cs="Arial"/>
          <w:sz w:val="22"/>
          <w:szCs w:val="22"/>
          <w:lang w:val="cs-CZ"/>
        </w:rPr>
        <w:t>že nejsou obcházeny zákony a že je jasná strategie jejich využití</w:t>
      </w:r>
      <w:r w:rsidR="00C2592A" w:rsidRPr="00C2592A">
        <w:rPr>
          <w:rFonts w:ascii="Arial" w:hAnsi="Arial" w:cs="Arial"/>
          <w:sz w:val="22"/>
          <w:szCs w:val="22"/>
          <w:lang w:val="cs-CZ"/>
        </w:rPr>
        <w:t xml:space="preserve">. </w:t>
      </w:r>
      <w:r w:rsidR="00807A35" w:rsidRPr="00C2592A">
        <w:rPr>
          <w:rFonts w:ascii="Arial" w:hAnsi="Arial" w:cs="Arial"/>
          <w:sz w:val="22"/>
          <w:szCs w:val="22"/>
          <w:lang w:val="cs-CZ"/>
        </w:rPr>
        <w:t xml:space="preserve"> Tyto kontroly by měly být veřejné a všechny dotčené společnosti by s nimi měly být srozuměny.</w:t>
      </w:r>
    </w:p>
    <w:p w:rsidR="00807A35" w:rsidRPr="0004665F" w:rsidRDefault="00807A35" w:rsidP="0004665F">
      <w:pPr>
        <w:spacing w:after="24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C2592A">
        <w:rPr>
          <w:rFonts w:ascii="Arial" w:hAnsi="Arial" w:cs="Arial"/>
          <w:b/>
          <w:color w:val="000000"/>
          <w:sz w:val="22"/>
          <w:szCs w:val="22"/>
          <w:lang w:val="cs-CZ"/>
        </w:rPr>
        <w:t>Školení a posilování integrity</w:t>
      </w:r>
    </w:p>
    <w:p w:rsidR="00AE3058" w:rsidRPr="002D1CF4" w:rsidRDefault="002D1CF4" w:rsidP="00740D94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 </w:t>
      </w:r>
      <w:r w:rsidR="0064707E">
        <w:rPr>
          <w:rFonts w:ascii="Arial" w:hAnsi="Arial" w:cs="Arial"/>
          <w:sz w:val="22"/>
          <w:szCs w:val="22"/>
          <w:lang w:val="cs-CZ"/>
        </w:rPr>
        <w:t xml:space="preserve">minulosti </w:t>
      </w:r>
      <w:r w:rsidR="0064707E" w:rsidRPr="002D1CF4">
        <w:rPr>
          <w:rFonts w:ascii="Arial" w:hAnsi="Arial" w:cs="Arial"/>
          <w:sz w:val="22"/>
          <w:szCs w:val="22"/>
          <w:lang w:val="cs-CZ"/>
        </w:rPr>
        <w:t>proběhlo</w:t>
      </w:r>
      <w:r w:rsidR="004B2B5C" w:rsidRPr="002D1CF4">
        <w:rPr>
          <w:rFonts w:ascii="Arial" w:hAnsi="Arial" w:cs="Arial"/>
          <w:sz w:val="22"/>
          <w:szCs w:val="22"/>
          <w:lang w:val="cs-CZ"/>
        </w:rPr>
        <w:t xml:space="preserve"> </w:t>
      </w:r>
      <w:r w:rsidR="00AE3058" w:rsidRPr="002D1CF4">
        <w:rPr>
          <w:rFonts w:ascii="Arial" w:hAnsi="Arial" w:cs="Arial"/>
          <w:sz w:val="22"/>
          <w:szCs w:val="22"/>
          <w:lang w:val="cs-CZ"/>
        </w:rPr>
        <w:t>několik protikorupční</w:t>
      </w:r>
      <w:r w:rsidR="004B2B5C" w:rsidRPr="002D1CF4">
        <w:rPr>
          <w:rFonts w:ascii="Arial" w:hAnsi="Arial" w:cs="Arial"/>
          <w:sz w:val="22"/>
          <w:szCs w:val="22"/>
          <w:lang w:val="cs-CZ"/>
        </w:rPr>
        <w:t>ch</w:t>
      </w:r>
      <w:r w:rsidR="00AE3058" w:rsidRPr="002D1CF4">
        <w:rPr>
          <w:rFonts w:ascii="Arial" w:hAnsi="Arial" w:cs="Arial"/>
          <w:sz w:val="22"/>
          <w:szCs w:val="22"/>
          <w:lang w:val="cs-CZ"/>
        </w:rPr>
        <w:t xml:space="preserve"> školení pro civilní a vojensk</w:t>
      </w:r>
      <w:r w:rsidR="004B2B5C" w:rsidRPr="002D1CF4">
        <w:rPr>
          <w:rFonts w:ascii="Arial" w:hAnsi="Arial" w:cs="Arial"/>
          <w:sz w:val="22"/>
          <w:szCs w:val="22"/>
          <w:lang w:val="cs-CZ"/>
        </w:rPr>
        <w:t>é zaměstnance</w:t>
      </w:r>
      <w:r w:rsidR="00AE3058" w:rsidRPr="002D1CF4">
        <w:rPr>
          <w:rFonts w:ascii="Arial" w:hAnsi="Arial" w:cs="Arial"/>
          <w:sz w:val="22"/>
          <w:szCs w:val="22"/>
          <w:lang w:val="cs-CZ"/>
        </w:rPr>
        <w:t>, což je vítané zlepšení a zavádí dobrou praxi, ač</w:t>
      </w:r>
      <w:r w:rsidR="004B2B5C" w:rsidRPr="002D1CF4">
        <w:rPr>
          <w:rFonts w:ascii="Arial" w:hAnsi="Arial" w:cs="Arial"/>
          <w:sz w:val="22"/>
          <w:szCs w:val="22"/>
          <w:lang w:val="cs-CZ"/>
        </w:rPr>
        <w:t xml:space="preserve">koli tato </w:t>
      </w:r>
      <w:r w:rsidR="00C2592A" w:rsidRPr="002D1CF4">
        <w:rPr>
          <w:rFonts w:ascii="Arial" w:hAnsi="Arial" w:cs="Arial"/>
          <w:sz w:val="22"/>
          <w:szCs w:val="22"/>
          <w:lang w:val="cs-CZ"/>
        </w:rPr>
        <w:t>školení nejsou</w:t>
      </w:r>
      <w:r w:rsidR="00AE3058" w:rsidRPr="002D1CF4">
        <w:rPr>
          <w:rFonts w:ascii="Arial" w:hAnsi="Arial" w:cs="Arial"/>
          <w:sz w:val="22"/>
          <w:szCs w:val="22"/>
          <w:lang w:val="cs-CZ"/>
        </w:rPr>
        <w:t xml:space="preserve"> pravidelná a zúčastnila se jich prozatím pouze malá část zaměstnanců.</w:t>
      </w:r>
      <w:r w:rsidR="00C2592A" w:rsidRPr="002D1CF4">
        <w:rPr>
          <w:rFonts w:ascii="Arial" w:hAnsi="Arial" w:cs="Arial"/>
          <w:sz w:val="22"/>
          <w:szCs w:val="22"/>
          <w:lang w:val="cs-CZ"/>
        </w:rPr>
        <w:t xml:space="preserve"> </w:t>
      </w:r>
      <w:r w:rsidR="00F455AF" w:rsidRPr="002D1CF4">
        <w:rPr>
          <w:rFonts w:ascii="Arial" w:hAnsi="Arial" w:cs="Arial"/>
          <w:sz w:val="22"/>
          <w:szCs w:val="22"/>
          <w:lang w:val="cs-CZ"/>
        </w:rPr>
        <w:t>Nízké skóre v</w:t>
      </w:r>
      <w:r w:rsidR="00C2592A" w:rsidRPr="002D1CF4">
        <w:rPr>
          <w:rFonts w:ascii="Arial" w:hAnsi="Arial" w:cs="Arial"/>
          <w:sz w:val="22"/>
          <w:szCs w:val="22"/>
          <w:lang w:val="cs-CZ"/>
        </w:rPr>
        <w:t xml:space="preserve"> této části </w:t>
      </w:r>
      <w:r w:rsidR="0064707E">
        <w:rPr>
          <w:rFonts w:ascii="Arial" w:hAnsi="Arial" w:cs="Arial"/>
          <w:sz w:val="22"/>
          <w:szCs w:val="22"/>
          <w:lang w:val="cs-CZ"/>
        </w:rPr>
        <w:t xml:space="preserve">studie </w:t>
      </w:r>
      <w:r w:rsidR="00F455AF" w:rsidRPr="002D1CF4">
        <w:rPr>
          <w:rFonts w:ascii="Arial" w:hAnsi="Arial" w:cs="Arial"/>
          <w:sz w:val="22"/>
          <w:szCs w:val="22"/>
          <w:lang w:val="cs-CZ"/>
        </w:rPr>
        <w:t>je zapříčiněno také chybějící komplexní a detailní armádní doktrínou, která by se zabývala tématem korupce v</w:t>
      </w:r>
      <w:r w:rsidR="00C2592A" w:rsidRPr="002D1CF4">
        <w:rPr>
          <w:rFonts w:ascii="Arial" w:hAnsi="Arial" w:cs="Arial"/>
          <w:sz w:val="22"/>
          <w:szCs w:val="22"/>
          <w:lang w:val="cs-CZ"/>
        </w:rPr>
        <w:t xml:space="preserve"> zahraničních misích a </w:t>
      </w:r>
      <w:r w:rsidR="00F455AF" w:rsidRPr="002D1CF4">
        <w:rPr>
          <w:rFonts w:ascii="Arial" w:hAnsi="Arial" w:cs="Arial"/>
          <w:sz w:val="22"/>
          <w:szCs w:val="22"/>
          <w:lang w:val="cs-CZ"/>
        </w:rPr>
        <w:t xml:space="preserve">mírových </w:t>
      </w:r>
      <w:r w:rsidR="00C2592A" w:rsidRPr="002D1CF4">
        <w:rPr>
          <w:rFonts w:ascii="Arial" w:hAnsi="Arial" w:cs="Arial"/>
          <w:sz w:val="22"/>
          <w:szCs w:val="22"/>
          <w:lang w:val="cs-CZ"/>
        </w:rPr>
        <w:t>operacích</w:t>
      </w:r>
      <w:r w:rsidR="00F455AF" w:rsidRPr="002D1CF4">
        <w:rPr>
          <w:rFonts w:ascii="Arial" w:hAnsi="Arial" w:cs="Arial"/>
          <w:sz w:val="22"/>
          <w:szCs w:val="22"/>
          <w:lang w:val="cs-CZ"/>
        </w:rPr>
        <w:t>.</w:t>
      </w:r>
      <w:r w:rsidR="00AE3058" w:rsidRPr="002D1CF4">
        <w:rPr>
          <w:rFonts w:ascii="Arial" w:hAnsi="Arial" w:cs="Arial"/>
          <w:sz w:val="22"/>
          <w:szCs w:val="22"/>
          <w:lang w:val="cs-CZ"/>
        </w:rPr>
        <w:t xml:space="preserve"> Česká republika by mohla profitovat ze systematičtějších</w:t>
      </w:r>
      <w:r w:rsidR="0004665F">
        <w:rPr>
          <w:rFonts w:ascii="Arial" w:hAnsi="Arial" w:cs="Arial"/>
          <w:sz w:val="22"/>
          <w:szCs w:val="22"/>
          <w:lang w:val="cs-CZ"/>
        </w:rPr>
        <w:t>,</w:t>
      </w:r>
      <w:r w:rsidR="00AE3058" w:rsidRPr="002D1CF4">
        <w:rPr>
          <w:rFonts w:ascii="Arial" w:hAnsi="Arial" w:cs="Arial"/>
          <w:sz w:val="22"/>
          <w:szCs w:val="22"/>
          <w:lang w:val="cs-CZ"/>
        </w:rPr>
        <w:t xml:space="preserve"> </w:t>
      </w:r>
      <w:r w:rsidR="000B6D7C" w:rsidRPr="002D1CF4">
        <w:rPr>
          <w:rFonts w:ascii="Arial" w:hAnsi="Arial" w:cs="Arial"/>
          <w:sz w:val="22"/>
          <w:szCs w:val="22"/>
          <w:lang w:val="cs-CZ"/>
        </w:rPr>
        <w:t>konkrétně zaměřen</w:t>
      </w:r>
      <w:r w:rsidR="0064707E">
        <w:rPr>
          <w:rFonts w:ascii="Arial" w:hAnsi="Arial" w:cs="Arial"/>
          <w:sz w:val="22"/>
          <w:szCs w:val="22"/>
          <w:lang w:val="cs-CZ"/>
        </w:rPr>
        <w:t xml:space="preserve">ých </w:t>
      </w:r>
      <w:r w:rsidR="00C2592A" w:rsidRPr="002D1CF4">
        <w:rPr>
          <w:rFonts w:ascii="Arial" w:hAnsi="Arial" w:cs="Arial"/>
          <w:sz w:val="22"/>
          <w:szCs w:val="22"/>
          <w:lang w:val="cs-CZ"/>
        </w:rPr>
        <w:t xml:space="preserve">a </w:t>
      </w:r>
      <w:r w:rsidR="000B6D7C" w:rsidRPr="002D1CF4">
        <w:rPr>
          <w:rFonts w:ascii="Arial" w:hAnsi="Arial" w:cs="Arial"/>
          <w:sz w:val="22"/>
          <w:szCs w:val="22"/>
          <w:lang w:val="cs-CZ"/>
        </w:rPr>
        <w:t>pravideln</w:t>
      </w:r>
      <w:r w:rsidR="00AB75B3">
        <w:rPr>
          <w:rFonts w:ascii="Arial" w:hAnsi="Arial" w:cs="Arial"/>
          <w:sz w:val="22"/>
          <w:szCs w:val="22"/>
          <w:lang w:val="cs-CZ"/>
        </w:rPr>
        <w:t>ých</w:t>
      </w:r>
      <w:r w:rsidR="000B6D7C" w:rsidRPr="002D1CF4">
        <w:rPr>
          <w:rFonts w:ascii="Arial" w:hAnsi="Arial" w:cs="Arial"/>
          <w:sz w:val="22"/>
          <w:szCs w:val="22"/>
          <w:lang w:val="cs-CZ"/>
        </w:rPr>
        <w:t xml:space="preserve"> </w:t>
      </w:r>
      <w:r w:rsidR="00AE3058" w:rsidRPr="002D1CF4">
        <w:rPr>
          <w:rFonts w:ascii="Arial" w:hAnsi="Arial" w:cs="Arial"/>
          <w:sz w:val="22"/>
          <w:szCs w:val="22"/>
          <w:lang w:val="cs-CZ"/>
        </w:rPr>
        <w:t>protikorupčních školení pro civilní i vojenský personá</w:t>
      </w:r>
      <w:r w:rsidR="00C2592A" w:rsidRPr="002D1CF4">
        <w:rPr>
          <w:rFonts w:ascii="Arial" w:hAnsi="Arial" w:cs="Arial"/>
          <w:sz w:val="22"/>
          <w:szCs w:val="22"/>
          <w:lang w:val="cs-CZ"/>
        </w:rPr>
        <w:t>l</w:t>
      </w:r>
      <w:r w:rsidR="00AE3058" w:rsidRPr="002D1CF4">
        <w:rPr>
          <w:rFonts w:ascii="Arial" w:hAnsi="Arial" w:cs="Arial"/>
          <w:sz w:val="22"/>
          <w:szCs w:val="22"/>
          <w:lang w:val="cs-CZ"/>
        </w:rPr>
        <w:t xml:space="preserve">, </w:t>
      </w:r>
      <w:r w:rsidR="000B6D7C" w:rsidRPr="002D1CF4">
        <w:rPr>
          <w:rFonts w:ascii="Arial" w:hAnsi="Arial" w:cs="Arial"/>
          <w:sz w:val="22"/>
          <w:szCs w:val="22"/>
          <w:lang w:val="cs-CZ"/>
        </w:rPr>
        <w:t>především pak pro zaměstnance nasazen</w:t>
      </w:r>
      <w:r w:rsidR="004D35E4" w:rsidRPr="002D1CF4">
        <w:rPr>
          <w:rFonts w:ascii="Arial" w:hAnsi="Arial" w:cs="Arial"/>
          <w:sz w:val="22"/>
          <w:szCs w:val="22"/>
          <w:lang w:val="cs-CZ"/>
        </w:rPr>
        <w:t>é</w:t>
      </w:r>
      <w:r w:rsidR="000B6D7C" w:rsidRPr="002D1CF4">
        <w:rPr>
          <w:rFonts w:ascii="Arial" w:hAnsi="Arial" w:cs="Arial"/>
          <w:sz w:val="22"/>
          <w:szCs w:val="22"/>
          <w:lang w:val="cs-CZ"/>
        </w:rPr>
        <w:t xml:space="preserve"> v prostředí operací</w:t>
      </w:r>
      <w:r w:rsidR="004D35E4" w:rsidRPr="002D1CF4">
        <w:rPr>
          <w:rFonts w:ascii="Arial" w:hAnsi="Arial" w:cs="Arial"/>
          <w:sz w:val="22"/>
          <w:szCs w:val="22"/>
          <w:lang w:val="cs-CZ"/>
        </w:rPr>
        <w:t>.</w:t>
      </w:r>
      <w:r w:rsidR="00AE3058" w:rsidRPr="002D1CF4">
        <w:rPr>
          <w:rFonts w:ascii="Arial" w:hAnsi="Arial" w:cs="Arial"/>
          <w:sz w:val="22"/>
          <w:szCs w:val="22"/>
          <w:lang w:val="cs-CZ"/>
        </w:rPr>
        <w:t xml:space="preserve"> Tato školení by měla poskytovat podrobnější </w:t>
      </w:r>
      <w:r w:rsidRPr="002D1CF4">
        <w:rPr>
          <w:rFonts w:ascii="Arial" w:hAnsi="Arial" w:cs="Arial"/>
          <w:sz w:val="22"/>
          <w:szCs w:val="22"/>
          <w:lang w:val="cs-CZ"/>
        </w:rPr>
        <w:t>pochopení</w:t>
      </w:r>
      <w:r w:rsidR="00AE3058" w:rsidRPr="002D1CF4">
        <w:rPr>
          <w:rFonts w:ascii="Arial" w:hAnsi="Arial" w:cs="Arial"/>
          <w:sz w:val="22"/>
          <w:szCs w:val="22"/>
          <w:lang w:val="cs-CZ"/>
        </w:rPr>
        <w:t>, jakým korupčním</w:t>
      </w:r>
      <w:r w:rsidR="004D35E4" w:rsidRPr="002D1CF4">
        <w:rPr>
          <w:rFonts w:ascii="Arial" w:hAnsi="Arial" w:cs="Arial"/>
          <w:sz w:val="22"/>
          <w:szCs w:val="22"/>
          <w:lang w:val="cs-CZ"/>
        </w:rPr>
        <w:t xml:space="preserve"> rizikům</w:t>
      </w:r>
      <w:r w:rsidR="00AE3058" w:rsidRPr="002D1CF4">
        <w:rPr>
          <w:rFonts w:ascii="Arial" w:hAnsi="Arial" w:cs="Arial"/>
          <w:sz w:val="22"/>
          <w:szCs w:val="22"/>
          <w:lang w:val="cs-CZ"/>
        </w:rPr>
        <w:t xml:space="preserve"> může personál čelit během nasazení. Doporučujeme, aby Ministerstvo obrany zvážilo zveřejnění svých směrnic a</w:t>
      </w:r>
      <w:r w:rsidR="004D35E4" w:rsidRPr="002D1CF4">
        <w:rPr>
          <w:rFonts w:ascii="Arial" w:hAnsi="Arial" w:cs="Arial"/>
          <w:sz w:val="22"/>
          <w:szCs w:val="22"/>
          <w:lang w:val="cs-CZ"/>
        </w:rPr>
        <w:t xml:space="preserve"> koncepcí, </w:t>
      </w:r>
      <w:r w:rsidR="00AE3058" w:rsidRPr="002D1CF4">
        <w:rPr>
          <w:rFonts w:ascii="Arial" w:hAnsi="Arial" w:cs="Arial"/>
          <w:sz w:val="22"/>
          <w:szCs w:val="22"/>
          <w:lang w:val="cs-CZ"/>
        </w:rPr>
        <w:t>a aby navázalo partnerství s dalšími státy a zajistilo školení pro sdílení zkušeností a nejlepších postupů v této oblasti. Tím by si mohlo ministerstvo zajistit integritu pro své vojenské operace.</w:t>
      </w:r>
    </w:p>
    <w:p w:rsidR="00CA56A3" w:rsidRDefault="00CA56A3" w:rsidP="00740D94">
      <w:pPr>
        <w:spacing w:line="360" w:lineRule="auto"/>
      </w:pPr>
    </w:p>
    <w:p w:rsidR="00165D7C" w:rsidRDefault="00165D7C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165D7C" w:rsidRDefault="00165D7C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165D7C" w:rsidRDefault="00165D7C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Pr="0004665F" w:rsidRDefault="0004665F" w:rsidP="0004665F">
      <w:pPr>
        <w:pStyle w:val="Default"/>
        <w:jc w:val="center"/>
        <w:rPr>
          <w:sz w:val="40"/>
          <w:szCs w:val="40"/>
        </w:rPr>
      </w:pPr>
    </w:p>
    <w:p w:rsidR="0004665F" w:rsidRDefault="0004665F" w:rsidP="0004665F">
      <w:pPr>
        <w:pStyle w:val="Default"/>
        <w:rPr>
          <w:rFonts w:cs="Times New Roman"/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5B9DF5" wp14:editId="43C78935">
                <wp:simplePos x="0" y="0"/>
                <wp:positionH relativeFrom="page">
                  <wp:posOffset>1224280</wp:posOffset>
                </wp:positionH>
                <wp:positionV relativeFrom="page">
                  <wp:posOffset>1288415</wp:posOffset>
                </wp:positionV>
                <wp:extent cx="5461000" cy="9100185"/>
                <wp:effectExtent l="0" t="0" r="0" b="5715"/>
                <wp:wrapThrough wrapText="bothSides">
                  <wp:wrapPolygon edited="0">
                    <wp:start x="151" y="0"/>
                    <wp:lineTo x="151" y="21568"/>
                    <wp:lineTo x="21324" y="21568"/>
                    <wp:lineTo x="21324" y="0"/>
                    <wp:lineTo x="151" y="0"/>
                  </wp:wrapPolygon>
                </wp:wrapThrough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910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2455"/>
                              <w:gridCol w:w="3580"/>
                              <w:gridCol w:w="445"/>
                            </w:tblGrid>
                            <w:tr w:rsidR="0004665F">
                              <w:trPr>
                                <w:trHeight w:val="135"/>
                              </w:trPr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Politická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B91C88">
                                  <w:pPr>
                                    <w:pStyle w:val="Default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Obranná &amp; bezpečnostní politika 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B91C88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Legislativní kontrola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B91C88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Výbor pro obranu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B91C88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Projednávání obranné politiky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B91C88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Zapojení občanských organizací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B91C88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Mezinárodní protikorupční nástroje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Veřejná diskuse</w:t>
                                  </w: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Protikorupční politika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Protikorupční instituce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Důvěra veřejnosti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Hodnocení rizik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Rozpočet resortu obrany 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Plánování nákupů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Transparentnost a podrobnost rozpočtu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Kontrola rozpočtu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Veřejná dostupnost rozpočtu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Příjmy resortu obrany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Vnitřní audit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Externí audit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Ostatní oblasti politiky 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Přírodní zdroje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5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Spojení s organizovaným zločinem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Vyšetřování organizovaného zločinu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Dohled nad zpravodajskými službami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Přijetí do zpravodajských služeb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7839D0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Kontrola exportu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Finance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037B41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037B41"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Nakládání s majetkem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(prodej majetku)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037B41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Řízení nakládání s majetkem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037B41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Kontrola nakládání s majetkem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Utajované rozpočty 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Procento utajovaných výdajů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Legislativní přístup k informacím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Audit utajovaných programům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Mimorozpočtové výdaje v zákoně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Mimorozpočtové výdaje v praxi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Utajování informací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Spojení se soukromou sférou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Existence firem vlastněných resortem obrany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Kontrola firem vlastněných resortem obrany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Nepovolené soukromé společnosti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Zaměstnanci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Vedení 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037B41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 w:rsidRPr="00037B41"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Veřejně deklarované odmítání korupce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Opatření vůči korumpovaným zaměstnancům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5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Whistleblowing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Zvláštní pozornost věnovaná zranitelným skupinám zaměstnanců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Mzdy a nábor 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Počet zaměstnanců je znám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335AFD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Platové stupně se veřejně publikují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Dobře nastavený mzdový systém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Objektivní jmenování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Objektivní povyšování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250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Branná povinnost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Korupce s cílem vyhnout se branné povinnosti</w:t>
                                  </w: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Korupce s cílem získat vybrané místo zařazení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Platový řetězec </w:t>
                                  </w:r>
                                </w:p>
                              </w:tc>
                              <w:tc>
                                <w:tcPr>
                                  <w:tcW w:w="35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 w:rsidRPr="00037B41"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Černé duše</w:t>
                                  </w: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53A367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</w:tbl>
                          <w:p w:rsidR="00000000" w:rsidRDefault="00A4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96.4pt;margin-top:101.45pt;width:430pt;height:7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EVvwIAAL8FAAAOAAAAZHJzL2Uyb0RvYy54bWysVOtu0zAU/o/EO1j+n+WC2ybR0mlrGoQ0&#10;LtLGA7iJ01gkdrDdpgPxQDwHL8ax03bZEBIC8iOyfY6/c/k+n8urQ9eiPVOaS5Hh8CLAiIlSVlxs&#10;M/zxvvBijLShoqKtFCzDD0zjq+XLF5dDn7JINrKtmEIAInQ69BlujOlT39dlwzqqL2TPBBhrqTpq&#10;YKu2fqXoAOhd60dBMPcHqapeyZJpDaf5aMRLh1/XrDTv61ozg9oMQ27G/ZX7b+zfX17SdKto3/Dy&#10;mAb9iyw6ygUEPUPl1FC0U/wXqI6XSmpZm4tSdr6sa14yVwNUEwbPqrlraM9cLdAc3Z/bpP8fbPlu&#10;/0EhXmWYYCRoBxTds4OR+x/fUS9bhoht0dDrFDzvevA1hxt5AKpdubq/leUnjYRcNVRs2bVScmgY&#10;rSDF0N70J1dHHG1BNsNbWUEsujPSAR1q1dn+QUcQoANVD2d6IB9UwuGMzMMgAFMJtgSWYTxzMWh6&#10;ut4rbV4z2SG7yLAC/h083d9qY9Oh6cnFRhOy4G3rNNCKJwfgOJ5AcLhqbTYNR+nXJEjW8TomHonm&#10;a48Eee5dFyvizYtwMctf5atVHn6zcUOSNryqmLBhTvIKyZ/RdxT6KIyzwLRseWXhbEpabTerVqE9&#10;BXkX7js2ZOLmP03DNQFqeVZSGJHgJkq8Yh4vPFKQmZcsgtgLwuQmmQckIXnxtKRbLti/l4QGoHIW&#10;zUY1/bY2oN0yPzI4qY2mHTcwQFreZTg+O9HUanAtKketobwd15NW2PQfWwF0n4h2irUiHeVqDpsD&#10;oFgZb2T1ANpVEpQFKoSpB4tGqi8YDTBBMqw/76hiGLVvBOg/CQmxI8dtyGwRwUZNLZuphYoSoDJs&#10;MBqXKzOOqV2v+LaBSOOLE/Ia3kzNnZofszq+NJgSrqjjRLNjaLp3Xo9zd/kTAAD//wMAUEsDBBQA&#10;BgAIAAAAIQBRVcFY3wAAAA0BAAAPAAAAZHJzL2Rvd25yZXYueG1sTI/NTsMwEITvSH0Haytxo3YD&#10;jUiIU1UgriDKj8TNjbdJRLyOYrcJb8/mRG87u6PZb4rt5DpxxiG0njSsVwoEUuVtS7WGj/fnm3sQ&#10;IRqypvOEGn4xwLZcXBUmt36kNzzvYy04hEJuNDQx9rmUoWrQmbDyPRLfjn5wJrIcamkHM3K462Si&#10;VCqdaYk/NKbHxwarn/3Jafh8OX5/3anX+slt+tFPSpLLpNbXy2n3ACLiFP/NMOMzOpTMdPAnskF0&#10;rLOE0aOGRCUZiNmhNvPqwFN6myqQZSEvW5R/AAAA//8DAFBLAQItABQABgAIAAAAIQC2gziS/gAA&#10;AOEBAAATAAAAAAAAAAAAAAAAAAAAAABbQ29udGVudF9UeXBlc10ueG1sUEsBAi0AFAAGAAgAAAAh&#10;ADj9If/WAAAAlAEAAAsAAAAAAAAAAAAAAAAALwEAAF9yZWxzLy5yZWxzUEsBAi0AFAAGAAgAAAAh&#10;AB/lIRW/AgAAvwUAAA4AAAAAAAAAAAAAAAAALgIAAGRycy9lMm9Eb2MueG1sUEsBAi0AFAAGAAgA&#10;AAAhAFFVwVjfAAAADQEAAA8AAAAAAAAAAAAAAAAAGQUAAGRycy9kb3ducmV2LnhtbFBLBQYAAAAA&#10;BAAEAPMAAAAlBgAAAAA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2455"/>
                        <w:gridCol w:w="3580"/>
                        <w:gridCol w:w="445"/>
                      </w:tblGrid>
                      <w:tr w:rsidR="0004665F">
                        <w:trPr>
                          <w:trHeight w:val="135"/>
                        </w:trPr>
                        <w:tc>
                          <w:tcPr>
                            <w:tcW w:w="132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Politická </w:t>
                            </w: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B91C88">
                            <w:pPr>
                              <w:pStyle w:val="Default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Obranná &amp; bezpečnostní politika 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B91C88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Legislativní kontrola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B91C88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Výbor pro obranu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B91C88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Projednávání obranné politiky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B91C88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Zapojení občanských organizací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B91C88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Mezinárodní protikorupční nástroje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Veřejná diskuse</w:t>
                            </w: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Protikorupční politika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Protikorupční instituce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Důvěra veřejnosti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Hodnocení rizik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Rozpočet resortu obrany 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Plánování nákupů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Transparentnost a podrobnost rozpočtu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Kontrola rozpočtu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Veřejná dostupnost rozpočtu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Příjmy resortu obrany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Vnitřní audit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Externí audit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Ostatní oblasti politiky 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Přírodní zdroje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5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Spojení s organizovaným zločinem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Vyšetřování organizovaného zločinu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Dohled nad zpravodajskými službami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Přijetí do zpravodajských služeb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7839D0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Kontrola exportu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Finance </w:t>
                            </w: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037B41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 w:rsidRPr="00037B41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Nakládání s majetkem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(prodej majetku)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037B41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Řízení nakládání s majetkem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037B41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Kontrola nakládání s majetkem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Utajované rozpočty 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Procento utajovaných výdajů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Legislativní přístup k informacím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Audit utajovaných programům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Mimorozpočtové výdaje v zákoně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Mimorozpočtové výdaje v praxi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Utajování informací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Spojení se soukromou sférou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Existence firem vlastněných resortem obrany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Kontrola firem vlastněných resortem obrany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Nepovolené soukromé společnosti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Zaměstnanci</w:t>
                            </w: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Vedení 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037B41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 w:rsidRPr="00037B41"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Veřejně deklarované odmítání korupce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Opatření vůči korumpovaným zaměstnancům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5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Whistleblowing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Zvláštní pozornost věnovaná zranitelným skupinám zaměstnanců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Mzdy a nábor 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Počet zaměstnanců je znám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335AFD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Platové stupně se veřejně publikují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Dobře nastavený mzdový systém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Objektivní jmenování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Objektivní povyšování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250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Branná povinnost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Korupce s cílem vyhnout se branné povinnosti</w:t>
                            </w: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Korupce s cílem získat vybrané místo zařazení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Platový řetězec </w:t>
                            </w:r>
                          </w:p>
                        </w:tc>
                        <w:tc>
                          <w:tcPr>
                            <w:tcW w:w="35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 w:rsidRPr="00037B41"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Černé duše</w:t>
                            </w: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53A367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4 </w:t>
                            </w:r>
                          </w:p>
                        </w:tc>
                      </w:tr>
                    </w:tbl>
                    <w:p w:rsidR="00000000" w:rsidRDefault="00A44635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4665F" w:rsidRDefault="0004665F" w:rsidP="0004665F">
      <w:pPr>
        <w:pStyle w:val="Default"/>
        <w:pageBreakBefore/>
        <w:framePr w:w="12761" w:wrap="auto" w:vAnchor="page" w:hAnchor="page" w:x="101" w:y="1"/>
        <w:spacing w:after="320"/>
        <w:rPr>
          <w:rFonts w:cs="Times New Roman"/>
          <w:color w:val="auto"/>
        </w:rPr>
      </w:pPr>
    </w:p>
    <w:p w:rsidR="0004665F" w:rsidRDefault="0004665F" w:rsidP="0004665F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1E6FCE" wp14:editId="6CB40C1F">
                <wp:simplePos x="0" y="0"/>
                <wp:positionH relativeFrom="page">
                  <wp:posOffset>1151890</wp:posOffset>
                </wp:positionH>
                <wp:positionV relativeFrom="page">
                  <wp:posOffset>1268095</wp:posOffset>
                </wp:positionV>
                <wp:extent cx="5460365" cy="6007100"/>
                <wp:effectExtent l="0" t="0" r="0" b="0"/>
                <wp:wrapThrough wrapText="bothSides">
                  <wp:wrapPolygon edited="0">
                    <wp:start x="151" y="0"/>
                    <wp:lineTo x="151" y="21509"/>
                    <wp:lineTo x="21326" y="21509"/>
                    <wp:lineTo x="21326" y="0"/>
                    <wp:lineTo x="151" y="0"/>
                  </wp:wrapPolygon>
                </wp:wrapThrough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600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2457"/>
                              <w:gridCol w:w="3577"/>
                              <w:gridCol w:w="445"/>
                            </w:tblGrid>
                            <w:tr w:rsidR="0004665F">
                              <w:trPr>
                                <w:trHeight w:val="135"/>
                              </w:trPr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Hierarchie velení a mzdy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Hodnoty, standardy, ostatní 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Dosah etického kodexu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Porušení etického kodexu se řeší</w:t>
                                  </w: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Protikorupční výcvik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Výsledky soudního stíhání jsou transparentní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Provize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Operace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Řízení v terénu 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Obranná doktrína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Operační výcvik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96769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Protikorupční monitoring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5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Kontrola smluv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5565D5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Soukromí dodavatelé v resortu obrany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Veřejné zakázky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Vládní politika 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Legislativa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Transparentní cyklus veřejné zakázky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Dohledové mechanismy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Nákupy jsou zveřejňovány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 w:rsidRPr="00037B41"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Protikorupčním s</w:t>
                                  </w: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tandardy i dodavatelských firem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96769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Nedostatky ve způsobilosti 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F71F7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Strategie definuje požadavky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Požadavky jsou kvantifikovány</w:t>
                                  </w: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Veřejná soutěž</w:t>
                                  </w: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Otevřená soutěž vs. jeden dodavatel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Kontrola hodnotících komisí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Dozor nad střetem zájmů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Smluvní dodávky/podpora 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Výcvik zaměstnanců v problematice veřejných zakázek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Mechanismy stížností pro firmy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B1D680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95B3E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Postihy za korupci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Kompenzace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02135B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Péče dobrého hospodáře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Transparentnost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Regulace soutěže</w:t>
                                  </w: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ab/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Ostatní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 w:rsidP="00CF71F7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>Dohled nad zprostředkovateli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BAA75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1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5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02135B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Transparentnost finančních balíčků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96769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4665F" w:rsidRDefault="0004665F" w:rsidP="0002135B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Dceřiné firmy/subdodavatelé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96769"/>
                                  <w:vAlign w:val="center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0 </w:t>
                                  </w:r>
                                </w:p>
                              </w:tc>
                            </w:tr>
                            <w:tr w:rsidR="0004665F">
                              <w:trPr>
                                <w:trHeight w:val="127"/>
                              </w:trPr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4665F" w:rsidRDefault="0004665F">
                                  <w:pPr>
                                    <w:pStyle w:val="Default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Politický vliv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shd w:val="clear" w:color="auto" w:fill="F2E07C"/>
                                </w:tcPr>
                                <w:p w:rsidR="0004665F" w:rsidRDefault="0004665F">
                                  <w:pPr>
                                    <w:pStyle w:val="Default"/>
                                    <w:jc w:val="center"/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DXOYXP+Calibri" w:hAnsi="DXOYXP+Calibri" w:cs="DXOYXP+Calibri"/>
                                      <w:sz w:val="19"/>
                                      <w:szCs w:val="19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</w:tbl>
                          <w:p w:rsidR="00000000" w:rsidRDefault="00A4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90.7pt;margin-top:99.85pt;width:429.95pt;height:47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FjxQIAAMYFAAAOAAAAZHJzL2Uyb0RvYy54bWysVNuOmzAQfa/Uf7D8zmIIIQEtqXZDqCpt&#10;L9JuP8ABE6yCTW0nZFv1g/od/bGOTW67+1K15QHZnvGZOTPHc/1m37Vox5TmUmQ4uCIYMVHKiotN&#10;hj8/FN4cI22oqGgrBcvwI9P4zeL1q+uhT1koG9lWTCEAETod+gw3xvSp7+uyYR3VV7JnAoy1VB01&#10;sFUbv1J0APSu9UNCYn+QquqVLJnWcJqPRrxw+HXNSvOxrjUzqM0w5GbcX7n/2v79xTVNN4r2DS8P&#10;adC/yKKjXEDQE1RODUVbxV9AdbxUUsvaXJWy82Vd85I5DsAmIM/Y3De0Z44LFEf3pzLp/wdbfth9&#10;UohXGZ5gJGgHLXpgeyN3v36iXrYMTWyJhl6n4Hnfg6/Z38o9tNrR1f2dLL9oJOSyoWLDbpSSQ8No&#10;BSkG9qZ/cXXE0RZkPbyXFcSiWyMd0L5Wna0fVAQBOrTq8dQeyAeVcDiNYjKJpxiVYIsJmQXENdCn&#10;6fF6r7R5y2SH7CLDCvrv4OnuThubDk2PLjaakAVvW6eBVjw5AMfxBILDVWuzabiWfk9Ispqv5pEX&#10;hfHKi0ieezfFMvLiIphN80m+XObBDxs3iNKGVxUTNsxRXkH0Z+07CH0UxklgWra8snA2Ja0262Wr&#10;0I6CvAv3uaKD5ezmP03DFQG4PKMUhBG5DROviOczLyqiqZfMyNwjQXKbxCRKorx4SumOC/bvlNCQ&#10;4WQaTkc1nZN+xo247yU3mnbcwABpeZfh+cmJplaDK1G51hrK23F9UQqb/rkU0O5jo51irUhHuZr9&#10;eu/eh5OzVfNaVo8gYSVBYKBTGH6waKT6htEAgyTD+uuWKoZR+07AM0iCKLKTx22i6SyEjbq0rC8t&#10;VJQAlWGD0bhcmnFabXvFNw1EGh+ekDfwdGruRH3O6vDgYFg4bofBZqfR5d55ncfv4jcAAAD//wMA&#10;UEsDBBQABgAIAAAAIQAOK2w24AAAAA0BAAAPAAAAZHJzL2Rvd25yZXYueG1sTI/NTsMwEITvSH0H&#10;a5G4UTs0pU2IU6EiriDKj8TNjbdJ1HgdxW4T3p7tCW4z2k+zM8Vmcp044xBaTxqSuQKBVHnbUq3h&#10;4/35dg0iREPWdJ5Qww8G2JSzq8Lk1o/0huddrAWHUMiNhibGPpcyVA06E+a+R+LbwQ/ORLZDLe1g&#10;Rg53nbxT6l460xJ/aEyP2war4+7kNHy+HL6/UvVaP7llP/pJSXKZ1Prmenp8ABFxin8wXOpzdSi5&#10;096fyAbRsV8nKaMssmwF4kKoNFmA2LNK0uUKZFnI/yvKXwAAAP//AwBQSwECLQAUAAYACAAAACEA&#10;toM4kv4AAADhAQAAEwAAAAAAAAAAAAAAAAAAAAAAW0NvbnRlbnRfVHlwZXNdLnhtbFBLAQItABQA&#10;BgAIAAAAIQA4/SH/1gAAAJQBAAALAAAAAAAAAAAAAAAAAC8BAABfcmVscy8ucmVsc1BLAQItABQA&#10;BgAIAAAAIQBdgwFjxQIAAMYFAAAOAAAAAAAAAAAAAAAAAC4CAABkcnMvZTJvRG9jLnhtbFBLAQIt&#10;ABQABgAIAAAAIQAOK2w24AAAAA0BAAAPAAAAAAAAAAAAAAAAAB8FAABkcnMvZG93bnJldi54bWxQ&#10;SwUGAAAAAAQABADzAAAALAYAAAAA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2457"/>
                        <w:gridCol w:w="3577"/>
                        <w:gridCol w:w="445"/>
                      </w:tblGrid>
                      <w:tr w:rsidR="0004665F">
                        <w:trPr>
                          <w:trHeight w:val="135"/>
                        </w:trPr>
                        <w:tc>
                          <w:tcPr>
                            <w:tcW w:w="1320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Hierarchie velení a mzdy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Hodnoty, standardy, ostatní 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Dosah etického kodexu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Porušení etického kodexu se řeší</w:t>
                            </w: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Protikorupční výcvik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Výsledky soudního stíhání jsou transparentní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Provize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Operace </w:t>
                            </w:r>
                          </w:p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Řízení v terénu 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Obranná doktrína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Operační výcvik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96769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0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Protikorupční monitoring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5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Kontrola smluv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5565D5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Soukromí dodavatelé v resortu obrany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Veřejné zakázky</w:t>
                            </w:r>
                          </w:p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Vládní politika 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Legislativa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Transparentní cyklus veřejné zakázky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Dohledové mechanismy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Nákupy jsou zveřejňovány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 w:rsidRPr="00037B41"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Protikorupčním s</w:t>
                            </w: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tandardy i dodavatelských firem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96769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0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Nedostatky ve způsobilosti 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F71F7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Strategie definuje požadavky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Požadavky jsou kvantifikovány</w:t>
                            </w: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Veřejná soutěž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Otevřená soutěž vs. jeden dodavatel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Kontrola hodnotících komisí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Dozor nad střetem zájmů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Smluvní dodávky/podpora 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Výcvik zaměstnanců v problematice veřejných zakázek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Mechanismy stížností pro firmy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B1D680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3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95B3E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Postihy za korupci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Kompenzace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02135B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Péče dobrého hospodáře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Transparentnost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Regulace soutěže</w:t>
                            </w: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ab/>
                              <w:t xml:space="preserve">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Ostatní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 w:rsidP="00CF71F7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>Dohled nad zprostředkovateli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BAA75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1 </w:t>
                            </w:r>
                          </w:p>
                        </w:tc>
                      </w:tr>
                      <w:tr w:rsidR="0004665F">
                        <w:trPr>
                          <w:trHeight w:val="125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02135B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Transparentnost finančních balíčků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96769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0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4665F" w:rsidRDefault="0004665F" w:rsidP="0002135B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Dceřiné firmy/subdodavatelé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96769"/>
                            <w:vAlign w:val="center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0 </w:t>
                            </w:r>
                          </w:p>
                        </w:tc>
                      </w:tr>
                      <w:tr w:rsidR="0004665F">
                        <w:trPr>
                          <w:trHeight w:val="127"/>
                        </w:trPr>
                        <w:tc>
                          <w:tcPr>
                            <w:tcW w:w="132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4665F" w:rsidRDefault="0004665F">
                            <w:pPr>
                              <w:pStyle w:val="Default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Politický vliv 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shd w:val="clear" w:color="auto" w:fill="F2E07C"/>
                          </w:tcPr>
                          <w:p w:rsidR="0004665F" w:rsidRDefault="0004665F">
                            <w:pPr>
                              <w:pStyle w:val="Default"/>
                              <w:jc w:val="center"/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DXOYXP+Calibri" w:hAnsi="DXOYXP+Calibri" w:cs="DXOYXP+Calibri"/>
                                <w:sz w:val="19"/>
                                <w:szCs w:val="19"/>
                              </w:rPr>
                              <w:t xml:space="preserve">2 </w:t>
                            </w:r>
                          </w:p>
                        </w:tc>
                      </w:tr>
                    </w:tbl>
                    <w:p w:rsidR="00000000" w:rsidRDefault="00A44635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04665F" w:rsidRDefault="0004665F" w:rsidP="0004665F">
      <w:pPr>
        <w:rPr>
          <w:b/>
          <w:u w:val="single"/>
        </w:rPr>
      </w:pPr>
    </w:p>
    <w:p w:rsidR="0004665F" w:rsidRDefault="0004665F" w:rsidP="0004665F">
      <w:pPr>
        <w:rPr>
          <w:b/>
          <w:u w:val="single"/>
        </w:rPr>
      </w:pPr>
    </w:p>
    <w:p w:rsidR="0004665F" w:rsidRDefault="0004665F" w:rsidP="0004665F">
      <w:pPr>
        <w:rPr>
          <w:b/>
          <w:u w:val="single"/>
        </w:rPr>
      </w:pPr>
    </w:p>
    <w:p w:rsidR="0004665F" w:rsidRDefault="0004665F" w:rsidP="0004665F">
      <w:pPr>
        <w:rPr>
          <w:b/>
          <w:u w:val="single"/>
        </w:rPr>
      </w:pPr>
    </w:p>
    <w:p w:rsidR="00165D7C" w:rsidRDefault="00165D7C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04665F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Default="0004665F" w:rsidP="0004665F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04665F" w:rsidRPr="00165D7C" w:rsidRDefault="0004665F" w:rsidP="0004665F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165D7C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Kontakt pro média v Transparency International </w:t>
      </w:r>
      <w:r>
        <w:rPr>
          <w:rFonts w:ascii="Arial" w:hAnsi="Arial" w:cs="Arial"/>
          <w:b/>
          <w:sz w:val="22"/>
          <w:szCs w:val="22"/>
          <w:u w:val="single"/>
          <w:lang w:val="cs-CZ"/>
        </w:rPr>
        <w:t>Česká republika</w:t>
      </w:r>
    </w:p>
    <w:p w:rsidR="0004665F" w:rsidRDefault="0004665F" w:rsidP="00165D7C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04665F">
        <w:rPr>
          <w:rFonts w:ascii="Arial" w:hAnsi="Arial" w:cs="Arial"/>
          <w:sz w:val="22"/>
          <w:szCs w:val="22"/>
          <w:lang w:val="cs-CZ"/>
        </w:rPr>
        <w:t>Radim Bureš</w:t>
      </w:r>
      <w:r>
        <w:rPr>
          <w:rFonts w:ascii="Arial" w:hAnsi="Arial" w:cs="Arial"/>
          <w:sz w:val="22"/>
          <w:szCs w:val="22"/>
          <w:lang w:val="cs-CZ"/>
        </w:rPr>
        <w:t>, programový ředitel</w:t>
      </w:r>
    </w:p>
    <w:p w:rsidR="0004665F" w:rsidRDefault="0004665F" w:rsidP="00165D7C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E: </w:t>
      </w:r>
      <w:hyperlink r:id="rId8" w:history="1">
        <w:r w:rsidRPr="00A44635">
          <w:rPr>
            <w:rStyle w:val="Hypertextovodkaz"/>
            <w:rFonts w:ascii="Arial" w:hAnsi="Arial" w:cs="Arial"/>
            <w:color w:val="0070C0"/>
            <w:sz w:val="22"/>
            <w:szCs w:val="22"/>
            <w:lang w:val="cs-CZ"/>
          </w:rPr>
          <w:t>bures@transparency.cz</w:t>
        </w:r>
      </w:hyperlink>
    </w:p>
    <w:p w:rsidR="0004665F" w:rsidRPr="0004665F" w:rsidRDefault="0004665F" w:rsidP="00165D7C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M: + 420 </w:t>
      </w:r>
      <w:r w:rsidRPr="0004665F">
        <w:rPr>
          <w:rFonts w:ascii="Arial" w:hAnsi="Arial" w:cs="Arial"/>
          <w:sz w:val="22"/>
          <w:szCs w:val="22"/>
          <w:lang w:val="cs-CZ"/>
        </w:rPr>
        <w:t>733 666 008</w:t>
      </w:r>
    </w:p>
    <w:p w:rsidR="0004665F" w:rsidRDefault="0004665F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:rsidR="00165D7C" w:rsidRPr="00165D7C" w:rsidRDefault="00165D7C" w:rsidP="00165D7C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165D7C">
        <w:rPr>
          <w:rFonts w:ascii="Arial" w:hAnsi="Arial" w:cs="Arial"/>
          <w:b/>
          <w:sz w:val="22"/>
          <w:szCs w:val="22"/>
          <w:u w:val="single"/>
          <w:lang w:val="cs-CZ"/>
        </w:rPr>
        <w:t>Kontakt pro média v Transparency International Velká Británie</w:t>
      </w:r>
      <w:bookmarkStart w:id="0" w:name="_GoBack"/>
      <w:bookmarkEnd w:id="0"/>
    </w:p>
    <w:p w:rsidR="00165D7C" w:rsidRPr="00165D7C" w:rsidRDefault="0004665F" w:rsidP="00165D7C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Dominic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Kavakeb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="00165D7C" w:rsidRPr="00165D7C">
        <w:rPr>
          <w:rFonts w:ascii="Arial" w:hAnsi="Arial" w:cs="Arial"/>
          <w:sz w:val="22"/>
          <w:szCs w:val="22"/>
          <w:lang w:val="cs-CZ"/>
        </w:rPr>
        <w:t>Communications Manager</w:t>
      </w:r>
    </w:p>
    <w:p w:rsidR="00165D7C" w:rsidRPr="00165D7C" w:rsidRDefault="00165D7C" w:rsidP="00165D7C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165D7C">
        <w:rPr>
          <w:rFonts w:ascii="Arial" w:hAnsi="Arial" w:cs="Arial"/>
          <w:sz w:val="22"/>
          <w:szCs w:val="22"/>
          <w:lang w:val="cs-CZ"/>
        </w:rPr>
        <w:t xml:space="preserve">E: </w:t>
      </w:r>
      <w:hyperlink r:id="rId9" w:history="1">
        <w:r w:rsidR="00AB75B3" w:rsidRPr="00A44635">
          <w:rPr>
            <w:rStyle w:val="Hypertextovodkaz"/>
            <w:rFonts w:ascii="Arial" w:hAnsi="Arial" w:cs="Arial"/>
            <w:color w:val="0070C0"/>
            <w:sz w:val="22"/>
            <w:szCs w:val="22"/>
            <w:lang w:val="cs-CZ"/>
          </w:rPr>
          <w:t>dominic.kavakeb@transparency.org.uk</w:t>
        </w:r>
      </w:hyperlink>
      <w:r w:rsidR="00AB75B3" w:rsidRPr="00A44635">
        <w:rPr>
          <w:rFonts w:ascii="Arial" w:hAnsi="Arial" w:cs="Arial"/>
          <w:color w:val="0070C0"/>
          <w:sz w:val="22"/>
          <w:szCs w:val="22"/>
          <w:lang w:val="cs-CZ"/>
        </w:rPr>
        <w:t xml:space="preserve"> </w:t>
      </w:r>
      <w:r w:rsidRPr="00A44635">
        <w:rPr>
          <w:rFonts w:ascii="Arial" w:hAnsi="Arial" w:cs="Arial"/>
          <w:color w:val="0070C0"/>
          <w:sz w:val="22"/>
          <w:szCs w:val="22"/>
          <w:lang w:val="cs-CZ"/>
        </w:rPr>
        <w:t xml:space="preserve"> </w:t>
      </w:r>
    </w:p>
    <w:p w:rsidR="00165D7C" w:rsidRPr="00165D7C" w:rsidRDefault="00165D7C" w:rsidP="00165D7C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165D7C">
        <w:rPr>
          <w:rFonts w:ascii="Arial" w:hAnsi="Arial" w:cs="Arial"/>
          <w:sz w:val="22"/>
          <w:szCs w:val="22"/>
          <w:lang w:val="cs-CZ"/>
        </w:rPr>
        <w:t>T: + 44 (0)20 3096 7695</w:t>
      </w:r>
    </w:p>
    <w:p w:rsidR="00165D7C" w:rsidRPr="00165D7C" w:rsidRDefault="00165D7C" w:rsidP="00165D7C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165D7C">
        <w:rPr>
          <w:rFonts w:ascii="Arial" w:hAnsi="Arial" w:cs="Arial"/>
          <w:sz w:val="22"/>
          <w:szCs w:val="22"/>
          <w:lang w:val="cs-CZ"/>
        </w:rPr>
        <w:t>M: +44 (0)79 6456 0340 (out of hours enquiries)</w:t>
      </w:r>
    </w:p>
    <w:p w:rsidR="00165D7C" w:rsidRPr="00165D7C" w:rsidRDefault="00165D7C" w:rsidP="00740D94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sectPr w:rsidR="00165D7C" w:rsidRPr="00165D7C" w:rsidSect="00BF4F8C"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94" w:rsidRDefault="00740D94" w:rsidP="00740D94">
      <w:r>
        <w:separator/>
      </w:r>
    </w:p>
  </w:endnote>
  <w:endnote w:type="continuationSeparator" w:id="0">
    <w:p w:rsidR="00740D94" w:rsidRDefault="00740D94" w:rsidP="0074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GBQPV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XOYXP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94" w:rsidRDefault="00740D94" w:rsidP="00740D94">
      <w:r>
        <w:separator/>
      </w:r>
    </w:p>
  </w:footnote>
  <w:footnote w:type="continuationSeparator" w:id="0">
    <w:p w:rsidR="00740D94" w:rsidRDefault="00740D94" w:rsidP="0074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94" w:rsidRPr="0004665F" w:rsidRDefault="00740D94" w:rsidP="0004665F">
    <w:pPr>
      <w:pStyle w:val="Zhlav"/>
    </w:pPr>
    <w:r>
      <w:rPr>
        <w:noProof/>
        <w:lang w:val="cs-CZ" w:eastAsia="cs-CZ"/>
      </w:rPr>
      <w:drawing>
        <wp:inline distT="0" distB="0" distL="0" distR="0" wp14:anchorId="6B3C7E77" wp14:editId="0ACC9C30">
          <wp:extent cx="2932430" cy="762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0D94" w:rsidRDefault="00740D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8C"/>
    <w:rsid w:val="0004665F"/>
    <w:rsid w:val="000B6D7C"/>
    <w:rsid w:val="00152FE6"/>
    <w:rsid w:val="00165D7C"/>
    <w:rsid w:val="0026317A"/>
    <w:rsid w:val="002935CC"/>
    <w:rsid w:val="002D1CF4"/>
    <w:rsid w:val="00391AE1"/>
    <w:rsid w:val="003C58DE"/>
    <w:rsid w:val="004B2B5C"/>
    <w:rsid w:val="004C6845"/>
    <w:rsid w:val="004D35E4"/>
    <w:rsid w:val="004F7568"/>
    <w:rsid w:val="00552198"/>
    <w:rsid w:val="005D61F2"/>
    <w:rsid w:val="0064707E"/>
    <w:rsid w:val="00740D94"/>
    <w:rsid w:val="007C0CC5"/>
    <w:rsid w:val="007C10BA"/>
    <w:rsid w:val="007C710C"/>
    <w:rsid w:val="007E5758"/>
    <w:rsid w:val="00807A35"/>
    <w:rsid w:val="008770E7"/>
    <w:rsid w:val="009A3901"/>
    <w:rsid w:val="009D4D58"/>
    <w:rsid w:val="00A00DBD"/>
    <w:rsid w:val="00A4393C"/>
    <w:rsid w:val="00A44635"/>
    <w:rsid w:val="00AB75B3"/>
    <w:rsid w:val="00AE3058"/>
    <w:rsid w:val="00B13142"/>
    <w:rsid w:val="00B800F3"/>
    <w:rsid w:val="00B930AE"/>
    <w:rsid w:val="00BF4F8C"/>
    <w:rsid w:val="00C2592A"/>
    <w:rsid w:val="00C267DD"/>
    <w:rsid w:val="00C63F47"/>
    <w:rsid w:val="00C66B29"/>
    <w:rsid w:val="00C8041B"/>
    <w:rsid w:val="00CA56A3"/>
    <w:rsid w:val="00CF79CA"/>
    <w:rsid w:val="00D77FAD"/>
    <w:rsid w:val="00E14B85"/>
    <w:rsid w:val="00E23584"/>
    <w:rsid w:val="00E2771B"/>
    <w:rsid w:val="00F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0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4F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3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0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058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0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058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0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058"/>
    <w:rPr>
      <w:rFonts w:ascii="Tahoma" w:hAnsi="Tahoma" w:cs="Tahoma"/>
      <w:sz w:val="16"/>
      <w:szCs w:val="16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740D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0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740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Zhlav">
    <w:name w:val="header"/>
    <w:basedOn w:val="Normln"/>
    <w:link w:val="ZhlavChar"/>
    <w:uiPriority w:val="99"/>
    <w:unhideWhenUsed/>
    <w:rsid w:val="00740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D9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40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D94"/>
    <w:rPr>
      <w:lang w:val="en-GB"/>
    </w:rPr>
  </w:style>
  <w:style w:type="paragraph" w:customStyle="1" w:styleId="Default">
    <w:name w:val="Default"/>
    <w:rsid w:val="0004665F"/>
    <w:pPr>
      <w:widowControl w:val="0"/>
      <w:autoSpaceDE w:val="0"/>
      <w:autoSpaceDN w:val="0"/>
      <w:adjustRightInd w:val="0"/>
    </w:pPr>
    <w:rPr>
      <w:rFonts w:ascii="SGBQPV+Calibri-Bold" w:hAnsi="SGBQPV+Calibri-Bold" w:cs="SGBQPV+Calibri-Bold"/>
      <w:color w:val="00000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46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0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4F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3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0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058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0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058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0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058"/>
    <w:rPr>
      <w:rFonts w:ascii="Tahoma" w:hAnsi="Tahoma" w:cs="Tahoma"/>
      <w:sz w:val="16"/>
      <w:szCs w:val="16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740D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0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740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Zhlav">
    <w:name w:val="header"/>
    <w:basedOn w:val="Normln"/>
    <w:link w:val="ZhlavChar"/>
    <w:uiPriority w:val="99"/>
    <w:unhideWhenUsed/>
    <w:rsid w:val="00740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D94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40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D94"/>
    <w:rPr>
      <w:lang w:val="en-GB"/>
    </w:rPr>
  </w:style>
  <w:style w:type="paragraph" w:customStyle="1" w:styleId="Default">
    <w:name w:val="Default"/>
    <w:rsid w:val="0004665F"/>
    <w:pPr>
      <w:widowControl w:val="0"/>
      <w:autoSpaceDE w:val="0"/>
      <w:autoSpaceDN w:val="0"/>
      <w:adjustRightInd w:val="0"/>
    </w:pPr>
    <w:rPr>
      <w:rFonts w:ascii="SGBQPV+Calibri-Bold" w:hAnsi="SGBQPV+Calibri-Bold" w:cs="SGBQPV+Calibri-Bold"/>
      <w:color w:val="000000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46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s@transparenc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inic.kavakeb@transparenc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A44066-8ABB-48DB-96EA-4E401441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harlow</dc:creator>
  <cp:lastModifiedBy>David Kotora</cp:lastModifiedBy>
  <cp:revision>6</cp:revision>
  <dcterms:created xsi:type="dcterms:W3CDTF">2015-12-02T13:38:00Z</dcterms:created>
  <dcterms:modified xsi:type="dcterms:W3CDTF">2015-12-03T11:22:00Z</dcterms:modified>
</cp:coreProperties>
</file>