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4CC94" w14:textId="4C585F19" w:rsidR="009561C1" w:rsidRPr="000923B1" w:rsidRDefault="009A0F08" w:rsidP="00CB1F1E">
      <w:pPr>
        <w:pStyle w:val="Nadpis2"/>
        <w:numPr>
          <w:ilvl w:val="0"/>
          <w:numId w:val="0"/>
        </w:numPr>
        <w:rPr>
          <w:sz w:val="28"/>
          <w:lang w:val="cs-CZ"/>
        </w:rPr>
      </w:pPr>
      <w:bookmarkStart w:id="0" w:name="_GoBack"/>
      <w:bookmarkEnd w:id="0"/>
      <w:r w:rsidRPr="000923B1">
        <w:rPr>
          <w:sz w:val="28"/>
          <w:lang w:val="cs-CZ"/>
        </w:rPr>
        <w:t xml:space="preserve">Téměř dvě třetiny podnikatelů zvolily Zákonem roku 2015 </w:t>
      </w:r>
      <w:r w:rsidR="00657807">
        <w:rPr>
          <w:sz w:val="28"/>
          <w:lang w:val="cs-CZ"/>
        </w:rPr>
        <w:t>R</w:t>
      </w:r>
      <w:r w:rsidRPr="000923B1">
        <w:rPr>
          <w:sz w:val="28"/>
          <w:lang w:val="cs-CZ"/>
        </w:rPr>
        <w:t>egistr smluv</w:t>
      </w:r>
    </w:p>
    <w:p w14:paraId="4579409A" w14:textId="62248615" w:rsidR="00F7523F" w:rsidRPr="000923B1" w:rsidRDefault="00757A85" w:rsidP="00260FD7">
      <w:pPr>
        <w:rPr>
          <w:b/>
          <w:sz w:val="22"/>
          <w:szCs w:val="20"/>
          <w:lang w:val="cs-CZ"/>
        </w:rPr>
      </w:pPr>
      <w:r w:rsidRPr="000923B1">
        <w:rPr>
          <w:b/>
          <w:sz w:val="22"/>
          <w:szCs w:val="20"/>
          <w:lang w:val="cs-CZ"/>
        </w:rPr>
        <w:t xml:space="preserve">Praha, </w:t>
      </w:r>
      <w:r w:rsidR="006A198F">
        <w:rPr>
          <w:b/>
          <w:sz w:val="22"/>
          <w:szCs w:val="20"/>
          <w:lang w:val="cs-CZ"/>
        </w:rPr>
        <w:t>8.</w:t>
      </w:r>
      <w:r w:rsidRPr="000923B1">
        <w:rPr>
          <w:b/>
          <w:sz w:val="22"/>
          <w:szCs w:val="20"/>
          <w:lang w:val="cs-CZ"/>
        </w:rPr>
        <w:t xml:space="preserve"> </w:t>
      </w:r>
      <w:r w:rsidR="00915B95">
        <w:rPr>
          <w:b/>
          <w:sz w:val="22"/>
          <w:szCs w:val="20"/>
          <w:lang w:val="cs-CZ"/>
        </w:rPr>
        <w:t>června</w:t>
      </w:r>
      <w:r w:rsidR="0022508F" w:rsidRPr="000923B1">
        <w:rPr>
          <w:b/>
          <w:sz w:val="22"/>
          <w:szCs w:val="20"/>
          <w:lang w:val="cs-CZ"/>
        </w:rPr>
        <w:t xml:space="preserve"> 201</w:t>
      </w:r>
      <w:r w:rsidR="006A09B7" w:rsidRPr="000923B1">
        <w:rPr>
          <w:b/>
          <w:sz w:val="22"/>
          <w:szCs w:val="20"/>
          <w:lang w:val="cs-CZ"/>
        </w:rPr>
        <w:t>6</w:t>
      </w:r>
      <w:r w:rsidRPr="000923B1">
        <w:rPr>
          <w:b/>
          <w:sz w:val="22"/>
          <w:szCs w:val="20"/>
          <w:lang w:val="cs-CZ"/>
        </w:rPr>
        <w:t xml:space="preserve"> – </w:t>
      </w:r>
      <w:r w:rsidR="00535F7A" w:rsidRPr="000923B1">
        <w:rPr>
          <w:b/>
          <w:sz w:val="22"/>
          <w:szCs w:val="20"/>
          <w:lang w:val="cs-CZ"/>
        </w:rPr>
        <w:t xml:space="preserve">Téměř dvě třetiny (61 %) </w:t>
      </w:r>
      <w:r w:rsidR="006A09B7" w:rsidRPr="000923B1">
        <w:rPr>
          <w:b/>
          <w:sz w:val="22"/>
          <w:szCs w:val="20"/>
          <w:lang w:val="cs-CZ"/>
        </w:rPr>
        <w:t xml:space="preserve">podnikatelů, firem </w:t>
      </w:r>
      <w:r w:rsidR="0021377D" w:rsidRPr="000923B1">
        <w:rPr>
          <w:b/>
          <w:sz w:val="22"/>
          <w:szCs w:val="20"/>
          <w:lang w:val="cs-CZ"/>
        </w:rPr>
        <w:t>a odborné veřejnosti rozhodl</w:t>
      </w:r>
      <w:r w:rsidR="00F7523F" w:rsidRPr="000923B1">
        <w:rPr>
          <w:b/>
          <w:sz w:val="22"/>
          <w:szCs w:val="20"/>
          <w:lang w:val="cs-CZ"/>
        </w:rPr>
        <w:t>y</w:t>
      </w:r>
      <w:r w:rsidR="0021377D" w:rsidRPr="000923B1">
        <w:rPr>
          <w:b/>
          <w:sz w:val="22"/>
          <w:szCs w:val="20"/>
          <w:lang w:val="cs-CZ"/>
        </w:rPr>
        <w:t xml:space="preserve"> na základě hlasování o tom, že </w:t>
      </w:r>
      <w:r w:rsidR="00F7523F" w:rsidRPr="000923B1">
        <w:rPr>
          <w:b/>
          <w:sz w:val="22"/>
          <w:szCs w:val="20"/>
          <w:lang w:val="cs-CZ"/>
        </w:rPr>
        <w:t>v anketě Z</w:t>
      </w:r>
      <w:r w:rsidR="0021377D" w:rsidRPr="000923B1">
        <w:rPr>
          <w:b/>
          <w:sz w:val="22"/>
          <w:szCs w:val="20"/>
          <w:lang w:val="cs-CZ"/>
        </w:rPr>
        <w:t>ákon</w:t>
      </w:r>
      <w:r w:rsidR="00F7523F" w:rsidRPr="000923B1">
        <w:rPr>
          <w:b/>
          <w:sz w:val="22"/>
          <w:szCs w:val="20"/>
          <w:lang w:val="cs-CZ"/>
        </w:rPr>
        <w:t xml:space="preserve"> roku 2015 o nejlepší legislativní počin v loňském roce zvítězil</w:t>
      </w:r>
      <w:r w:rsidR="002E4F4C" w:rsidRPr="000923B1">
        <w:rPr>
          <w:b/>
          <w:sz w:val="22"/>
          <w:szCs w:val="20"/>
          <w:lang w:val="cs-CZ"/>
        </w:rPr>
        <w:t>a</w:t>
      </w:r>
      <w:r w:rsidR="00F7523F" w:rsidRPr="000923B1">
        <w:rPr>
          <w:b/>
          <w:sz w:val="22"/>
          <w:szCs w:val="20"/>
          <w:lang w:val="cs-CZ"/>
        </w:rPr>
        <w:t xml:space="preserve"> </w:t>
      </w:r>
      <w:r w:rsidR="002E4F4C" w:rsidRPr="000923B1">
        <w:rPr>
          <w:b/>
          <w:sz w:val="22"/>
          <w:szCs w:val="20"/>
          <w:lang w:val="cs-CZ"/>
        </w:rPr>
        <w:t>t</w:t>
      </w:r>
      <w:r w:rsidR="00F7523F" w:rsidRPr="000923B1">
        <w:rPr>
          <w:b/>
          <w:sz w:val="22"/>
          <w:szCs w:val="20"/>
          <w:lang w:val="cs-CZ"/>
        </w:rPr>
        <w:t xml:space="preserve">ransparentnost nakládání s veřejnými prostředky </w:t>
      </w:r>
      <w:r w:rsidR="002E4F4C" w:rsidRPr="000923B1">
        <w:rPr>
          <w:b/>
          <w:sz w:val="22"/>
          <w:szCs w:val="20"/>
          <w:lang w:val="cs-CZ"/>
        </w:rPr>
        <w:t>(Registr smluv). S</w:t>
      </w:r>
      <w:r w:rsidR="00F7523F" w:rsidRPr="000923B1">
        <w:rPr>
          <w:b/>
          <w:sz w:val="22"/>
          <w:szCs w:val="20"/>
          <w:lang w:val="cs-CZ"/>
        </w:rPr>
        <w:t xml:space="preserve"> výrazným náskokem </w:t>
      </w:r>
      <w:r w:rsidR="002E4F4C" w:rsidRPr="000923B1">
        <w:rPr>
          <w:b/>
          <w:sz w:val="22"/>
          <w:szCs w:val="20"/>
          <w:lang w:val="cs-CZ"/>
        </w:rPr>
        <w:t xml:space="preserve">tak </w:t>
      </w:r>
      <w:r w:rsidR="00F7523F" w:rsidRPr="000923B1">
        <w:rPr>
          <w:b/>
          <w:sz w:val="22"/>
          <w:szCs w:val="20"/>
          <w:lang w:val="cs-CZ"/>
        </w:rPr>
        <w:t>předstihl novelu zákona o účetnictví, kterou zvolilo 15 % podnikatelů, či novelu zákona o svobodném přístupu k</w:t>
      </w:r>
      <w:r w:rsidR="00305CC8">
        <w:rPr>
          <w:b/>
          <w:sz w:val="22"/>
          <w:szCs w:val="20"/>
          <w:lang w:val="cs-CZ"/>
        </w:rPr>
        <w:t> </w:t>
      </w:r>
      <w:r w:rsidR="00F7523F" w:rsidRPr="000923B1">
        <w:rPr>
          <w:b/>
          <w:sz w:val="22"/>
          <w:szCs w:val="20"/>
          <w:lang w:val="cs-CZ"/>
        </w:rPr>
        <w:t>informacím</w:t>
      </w:r>
      <w:r w:rsidR="00305CC8">
        <w:rPr>
          <w:b/>
          <w:sz w:val="22"/>
          <w:szCs w:val="20"/>
          <w:lang w:val="cs-CZ"/>
        </w:rPr>
        <w:t>, pro níž</w:t>
      </w:r>
      <w:r w:rsidR="002E4F4C" w:rsidRPr="000923B1">
        <w:rPr>
          <w:b/>
          <w:sz w:val="22"/>
          <w:szCs w:val="20"/>
          <w:lang w:val="cs-CZ"/>
        </w:rPr>
        <w:t xml:space="preserve"> hlasovalo 12 % podnikatelů. </w:t>
      </w:r>
      <w:r w:rsidR="00305CC8">
        <w:rPr>
          <w:b/>
          <w:sz w:val="22"/>
          <w:szCs w:val="20"/>
          <w:lang w:val="cs-CZ"/>
        </w:rPr>
        <w:t> To jsou závěry</w:t>
      </w:r>
      <w:r w:rsidR="002E4F4C" w:rsidRPr="000923B1">
        <w:rPr>
          <w:b/>
          <w:sz w:val="22"/>
          <w:szCs w:val="20"/>
          <w:lang w:val="cs-CZ"/>
        </w:rPr>
        <w:t xml:space="preserve"> </w:t>
      </w:r>
      <w:r w:rsidR="00E42B06" w:rsidRPr="000923B1">
        <w:rPr>
          <w:b/>
          <w:sz w:val="22"/>
          <w:szCs w:val="20"/>
          <w:lang w:val="cs-CZ"/>
        </w:rPr>
        <w:t xml:space="preserve">sedmého </w:t>
      </w:r>
      <w:r w:rsidR="002E4F4C" w:rsidRPr="000923B1">
        <w:rPr>
          <w:b/>
          <w:sz w:val="22"/>
          <w:szCs w:val="20"/>
          <w:lang w:val="cs-CZ"/>
        </w:rPr>
        <w:t xml:space="preserve">ročníku ankety Zákon roku, který pořádala advokátní kancelář </w:t>
      </w:r>
      <w:proofErr w:type="spellStart"/>
      <w:r w:rsidR="002E4F4C" w:rsidRPr="000923B1">
        <w:rPr>
          <w:b/>
          <w:sz w:val="22"/>
          <w:szCs w:val="20"/>
          <w:lang w:val="cs-CZ"/>
        </w:rPr>
        <w:t>Ambruz</w:t>
      </w:r>
      <w:proofErr w:type="spellEnd"/>
      <w:r w:rsidR="002E4F4C" w:rsidRPr="000923B1">
        <w:rPr>
          <w:b/>
          <w:sz w:val="22"/>
          <w:szCs w:val="20"/>
          <w:lang w:val="cs-CZ"/>
        </w:rPr>
        <w:t xml:space="preserve"> &amp; Dark Deloitte </w:t>
      </w:r>
      <w:proofErr w:type="spellStart"/>
      <w:r w:rsidR="002E4F4C" w:rsidRPr="000923B1">
        <w:rPr>
          <w:b/>
          <w:sz w:val="22"/>
          <w:szCs w:val="20"/>
          <w:lang w:val="cs-CZ"/>
        </w:rPr>
        <w:t>Legal</w:t>
      </w:r>
      <w:proofErr w:type="spellEnd"/>
      <w:r w:rsidR="002E4F4C" w:rsidRPr="000923B1">
        <w:rPr>
          <w:b/>
          <w:sz w:val="22"/>
          <w:szCs w:val="20"/>
          <w:lang w:val="cs-CZ"/>
        </w:rPr>
        <w:t xml:space="preserve"> ve spolupráci s partnery. Letošního hlasování se zúčastnilo </w:t>
      </w:r>
      <w:r w:rsidR="00E42B06" w:rsidRPr="000923B1">
        <w:rPr>
          <w:b/>
          <w:sz w:val="22"/>
          <w:szCs w:val="20"/>
          <w:lang w:val="cs-CZ"/>
        </w:rPr>
        <w:t>273</w:t>
      </w:r>
      <w:r w:rsidR="002E4F4C" w:rsidRPr="000923B1">
        <w:rPr>
          <w:b/>
          <w:sz w:val="22"/>
          <w:szCs w:val="20"/>
          <w:lang w:val="cs-CZ"/>
        </w:rPr>
        <w:t xml:space="preserve"> </w:t>
      </w:r>
      <w:r w:rsidR="00E42B06" w:rsidRPr="000923B1">
        <w:rPr>
          <w:b/>
          <w:sz w:val="22"/>
          <w:szCs w:val="20"/>
          <w:lang w:val="cs-CZ"/>
        </w:rPr>
        <w:t>zástupců z podnikatelského prostředí.</w:t>
      </w:r>
    </w:p>
    <w:p w14:paraId="57B03114" w14:textId="77777777" w:rsidR="006A09B7" w:rsidRPr="000923B1" w:rsidRDefault="00F7523F" w:rsidP="00260FD7">
      <w:pPr>
        <w:rPr>
          <w:b/>
          <w:sz w:val="22"/>
          <w:szCs w:val="20"/>
          <w:lang w:val="cs-CZ"/>
        </w:rPr>
      </w:pPr>
      <w:r w:rsidRPr="000923B1">
        <w:rPr>
          <w:b/>
          <w:sz w:val="22"/>
          <w:szCs w:val="20"/>
          <w:lang w:val="cs-CZ"/>
        </w:rPr>
        <w:t xml:space="preserve"> </w:t>
      </w:r>
    </w:p>
    <w:p w14:paraId="1D57C401" w14:textId="16BB64B9" w:rsidR="003A314C" w:rsidRPr="000923B1" w:rsidRDefault="00D670F9" w:rsidP="00055CB7">
      <w:pPr>
        <w:rPr>
          <w:sz w:val="22"/>
          <w:szCs w:val="20"/>
          <w:lang w:val="cs-CZ"/>
        </w:rPr>
      </w:pPr>
      <w:r w:rsidRPr="000923B1">
        <w:rPr>
          <w:sz w:val="22"/>
          <w:szCs w:val="20"/>
          <w:lang w:val="cs-CZ"/>
        </w:rPr>
        <w:t>Cílem ankety je přispět k disku</w:t>
      </w:r>
      <w:r w:rsidR="00305CC8">
        <w:rPr>
          <w:sz w:val="22"/>
          <w:szCs w:val="20"/>
          <w:lang w:val="cs-CZ"/>
        </w:rPr>
        <w:t>z</w:t>
      </w:r>
      <w:r w:rsidRPr="000923B1">
        <w:rPr>
          <w:sz w:val="22"/>
          <w:szCs w:val="20"/>
          <w:lang w:val="cs-CZ"/>
        </w:rPr>
        <w:t>i mezi českými podnikateli, politiky a odbornou veřejností o kvalitě právních předpisů. V loňském roce zvítězila novela zákona o zaměstnanosti a živnostenského zákona, která pro podnikatele zavedla měně administrativy a snížila minimální výši pokuty.</w:t>
      </w:r>
    </w:p>
    <w:p w14:paraId="4B0717E1" w14:textId="77777777" w:rsidR="00D670F9" w:rsidRPr="000923B1" w:rsidRDefault="00D670F9" w:rsidP="00055CB7">
      <w:pPr>
        <w:rPr>
          <w:sz w:val="22"/>
          <w:szCs w:val="20"/>
          <w:lang w:val="cs-CZ"/>
        </w:rPr>
      </w:pPr>
    </w:p>
    <w:p w14:paraId="744FD9FE" w14:textId="5BFFCB5F" w:rsidR="00134BE2" w:rsidRPr="00226BC0" w:rsidRDefault="00134BE2" w:rsidP="00D670F9">
      <w:pPr>
        <w:rPr>
          <w:i/>
          <w:sz w:val="22"/>
          <w:szCs w:val="20"/>
          <w:lang w:val="cs-CZ"/>
        </w:rPr>
      </w:pPr>
      <w:r w:rsidRPr="00226BC0">
        <w:rPr>
          <w:i/>
          <w:sz w:val="22"/>
          <w:szCs w:val="20"/>
          <w:lang w:val="cs-CZ"/>
        </w:rPr>
        <w:t xml:space="preserve">„Letošní anketa potvrdila, že kromě daní podnikatele tradičně trápí nakládání s veřejnými prostředky. </w:t>
      </w:r>
      <w:r w:rsidR="00BC75D1" w:rsidRPr="00226BC0">
        <w:rPr>
          <w:i/>
          <w:sz w:val="22"/>
          <w:szCs w:val="20"/>
          <w:lang w:val="cs-CZ"/>
        </w:rPr>
        <w:t>Hlavním důvodem, proč podnikatelé zvolili Zákonem roku r</w:t>
      </w:r>
      <w:r w:rsidRPr="00226BC0">
        <w:rPr>
          <w:i/>
          <w:sz w:val="22"/>
          <w:szCs w:val="20"/>
          <w:lang w:val="cs-CZ"/>
        </w:rPr>
        <w:t>egistr smluv</w:t>
      </w:r>
      <w:r w:rsidR="00BC75D1" w:rsidRPr="00226BC0">
        <w:rPr>
          <w:i/>
          <w:sz w:val="22"/>
          <w:szCs w:val="20"/>
          <w:lang w:val="cs-CZ"/>
        </w:rPr>
        <w:t>, může být to, že tento zákon</w:t>
      </w:r>
      <w:r w:rsidRPr="00226BC0">
        <w:rPr>
          <w:i/>
          <w:sz w:val="22"/>
          <w:szCs w:val="20"/>
          <w:lang w:val="cs-CZ"/>
        </w:rPr>
        <w:t xml:space="preserve"> sází na zveřejňování informací a angažovanost konkurentů a neziskového sektoru v odhalování nesrovnalostí. Sympatická je tedy podnikatelům zřejmě kombinace jednoduchého řešení</w:t>
      </w:r>
      <w:r w:rsidR="00BA62FD" w:rsidRPr="00226BC0">
        <w:rPr>
          <w:i/>
          <w:sz w:val="22"/>
          <w:szCs w:val="20"/>
          <w:lang w:val="cs-CZ"/>
        </w:rPr>
        <w:t xml:space="preserve"> – </w:t>
      </w:r>
      <w:r w:rsidRPr="00226BC0">
        <w:rPr>
          <w:i/>
          <w:sz w:val="22"/>
          <w:szCs w:val="20"/>
          <w:lang w:val="cs-CZ"/>
        </w:rPr>
        <w:t>10 paragrafů, jasné pravidlo</w:t>
      </w:r>
      <w:r w:rsidR="00BA62FD" w:rsidRPr="00226BC0">
        <w:rPr>
          <w:i/>
          <w:sz w:val="22"/>
          <w:szCs w:val="20"/>
          <w:lang w:val="cs-CZ"/>
        </w:rPr>
        <w:t xml:space="preserve">, </w:t>
      </w:r>
      <w:r w:rsidRPr="00226BC0">
        <w:rPr>
          <w:i/>
          <w:sz w:val="22"/>
          <w:szCs w:val="20"/>
          <w:lang w:val="cs-CZ"/>
        </w:rPr>
        <w:t>a posílení prostoru pro kontrolu veřejností. Žádné složité dokazování a šedé zóny. Smlouva prostě je, nebo není uveřejněna. A když není, neplatí,“</w:t>
      </w:r>
      <w:r w:rsidR="00C1787A" w:rsidRPr="00226BC0">
        <w:rPr>
          <w:sz w:val="22"/>
          <w:szCs w:val="20"/>
          <w:lang w:val="cs-CZ"/>
        </w:rPr>
        <w:t xml:space="preserve"> uvedl k výsledkům Tomáš Babáček</w:t>
      </w:r>
      <w:r w:rsidR="00FD0B08" w:rsidRPr="00226BC0">
        <w:rPr>
          <w:sz w:val="22"/>
          <w:szCs w:val="20"/>
          <w:lang w:val="cs-CZ"/>
        </w:rPr>
        <w:t>,</w:t>
      </w:r>
      <w:r w:rsidR="00FF444D" w:rsidRPr="00226BC0">
        <w:rPr>
          <w:sz w:val="22"/>
          <w:szCs w:val="20"/>
          <w:lang w:val="cs-CZ"/>
        </w:rPr>
        <w:t xml:space="preserve"> předseda nominační rady ankety Zákon roku a advokát </w:t>
      </w:r>
      <w:proofErr w:type="spellStart"/>
      <w:r w:rsidR="00FF444D" w:rsidRPr="00226BC0">
        <w:rPr>
          <w:sz w:val="22"/>
          <w:szCs w:val="20"/>
          <w:lang w:val="cs-CZ"/>
        </w:rPr>
        <w:t>Ambruz</w:t>
      </w:r>
      <w:proofErr w:type="spellEnd"/>
      <w:r w:rsidR="00FF444D" w:rsidRPr="00226BC0">
        <w:rPr>
          <w:sz w:val="22"/>
          <w:szCs w:val="20"/>
          <w:lang w:val="cs-CZ"/>
        </w:rPr>
        <w:t xml:space="preserve"> &amp; Dark Deloitte </w:t>
      </w:r>
      <w:proofErr w:type="spellStart"/>
      <w:r w:rsidR="00FF444D" w:rsidRPr="00226BC0">
        <w:rPr>
          <w:sz w:val="22"/>
          <w:szCs w:val="20"/>
          <w:lang w:val="cs-CZ"/>
        </w:rPr>
        <w:t>Legal</w:t>
      </w:r>
      <w:proofErr w:type="spellEnd"/>
      <w:r w:rsidR="00FF444D" w:rsidRPr="00226BC0">
        <w:rPr>
          <w:sz w:val="22"/>
          <w:szCs w:val="20"/>
          <w:lang w:val="cs-CZ"/>
        </w:rPr>
        <w:t>.</w:t>
      </w:r>
    </w:p>
    <w:p w14:paraId="79E6821F" w14:textId="77777777" w:rsidR="00134BE2" w:rsidRPr="00226BC0" w:rsidRDefault="00134BE2" w:rsidP="00D670F9">
      <w:pPr>
        <w:rPr>
          <w:sz w:val="22"/>
          <w:szCs w:val="20"/>
          <w:lang w:val="cs-CZ"/>
        </w:rPr>
      </w:pPr>
    </w:p>
    <w:p w14:paraId="5CB09E88" w14:textId="3A8CC660" w:rsidR="00674377" w:rsidRPr="00226BC0" w:rsidRDefault="00674377" w:rsidP="00D670F9">
      <w:pPr>
        <w:rPr>
          <w:sz w:val="22"/>
          <w:szCs w:val="20"/>
          <w:lang w:val="cs-CZ"/>
        </w:rPr>
      </w:pPr>
      <w:r w:rsidRPr="00226BC0">
        <w:rPr>
          <w:sz w:val="22"/>
          <w:szCs w:val="20"/>
          <w:lang w:val="cs-CZ"/>
        </w:rPr>
        <w:t>Součástí letošní</w:t>
      </w:r>
      <w:r w:rsidR="00B473AF" w:rsidRPr="00226BC0">
        <w:rPr>
          <w:sz w:val="22"/>
          <w:szCs w:val="20"/>
          <w:lang w:val="cs-CZ"/>
        </w:rPr>
        <w:t xml:space="preserve">ho ročníku </w:t>
      </w:r>
      <w:r w:rsidR="00CF7EDE" w:rsidRPr="00226BC0">
        <w:rPr>
          <w:sz w:val="22"/>
          <w:szCs w:val="20"/>
          <w:lang w:val="cs-CZ"/>
        </w:rPr>
        <w:t xml:space="preserve">ankety </w:t>
      </w:r>
      <w:r w:rsidRPr="00226BC0">
        <w:rPr>
          <w:sz w:val="22"/>
          <w:szCs w:val="20"/>
          <w:lang w:val="cs-CZ"/>
        </w:rPr>
        <w:t>Zákon</w:t>
      </w:r>
      <w:r w:rsidR="005726F2" w:rsidRPr="00226BC0">
        <w:rPr>
          <w:sz w:val="22"/>
          <w:szCs w:val="20"/>
          <w:lang w:val="cs-CZ"/>
        </w:rPr>
        <w:t xml:space="preserve"> rok</w:t>
      </w:r>
      <w:r w:rsidR="00C4242C" w:rsidRPr="00226BC0">
        <w:rPr>
          <w:sz w:val="22"/>
          <w:szCs w:val="20"/>
          <w:lang w:val="cs-CZ"/>
        </w:rPr>
        <w:t>u</w:t>
      </w:r>
      <w:r w:rsidR="00CF7EDE" w:rsidRPr="00226BC0">
        <w:rPr>
          <w:sz w:val="22"/>
          <w:szCs w:val="20"/>
          <w:lang w:val="cs-CZ"/>
        </w:rPr>
        <w:t xml:space="preserve"> byl i dotazník</w:t>
      </w:r>
      <w:r w:rsidR="00C240B4" w:rsidRPr="00226BC0">
        <w:rPr>
          <w:sz w:val="22"/>
          <w:szCs w:val="20"/>
          <w:lang w:val="cs-CZ"/>
        </w:rPr>
        <w:t xml:space="preserve"> mezi podnikateli</w:t>
      </w:r>
      <w:r w:rsidR="005726F2" w:rsidRPr="00226BC0">
        <w:rPr>
          <w:sz w:val="22"/>
          <w:szCs w:val="20"/>
          <w:lang w:val="cs-CZ"/>
        </w:rPr>
        <w:t>, ze které</w:t>
      </w:r>
      <w:r w:rsidR="00CF7EDE" w:rsidRPr="00226BC0">
        <w:rPr>
          <w:sz w:val="22"/>
          <w:szCs w:val="20"/>
          <w:lang w:val="cs-CZ"/>
        </w:rPr>
        <w:t>ho</w:t>
      </w:r>
      <w:r w:rsidR="005726F2" w:rsidRPr="00226BC0">
        <w:rPr>
          <w:sz w:val="22"/>
          <w:szCs w:val="20"/>
          <w:lang w:val="cs-CZ"/>
        </w:rPr>
        <w:t xml:space="preserve"> vyplývá</w:t>
      </w:r>
      <w:r w:rsidR="00EA4F22" w:rsidRPr="00226BC0">
        <w:rPr>
          <w:sz w:val="22"/>
          <w:szCs w:val="20"/>
          <w:lang w:val="cs-CZ"/>
        </w:rPr>
        <w:t xml:space="preserve">, že 86 </w:t>
      </w:r>
      <w:r w:rsidR="00EA4F22" w:rsidRPr="00226BC0">
        <w:rPr>
          <w:sz w:val="22"/>
          <w:szCs w:val="20"/>
        </w:rPr>
        <w:t>%</w:t>
      </w:r>
      <w:r w:rsidR="00C4242C" w:rsidRPr="00226BC0">
        <w:rPr>
          <w:sz w:val="22"/>
          <w:szCs w:val="20"/>
          <w:lang w:val="cs-CZ"/>
        </w:rPr>
        <w:t xml:space="preserve"> </w:t>
      </w:r>
      <w:r w:rsidR="00C240B4" w:rsidRPr="00226BC0">
        <w:rPr>
          <w:sz w:val="22"/>
          <w:szCs w:val="20"/>
          <w:lang w:val="cs-CZ"/>
        </w:rPr>
        <w:t xml:space="preserve">zúčastněných </w:t>
      </w:r>
      <w:r w:rsidR="00C4242C" w:rsidRPr="00226BC0">
        <w:rPr>
          <w:sz w:val="22"/>
          <w:szCs w:val="20"/>
          <w:lang w:val="cs-CZ"/>
        </w:rPr>
        <w:t>považuje českou regulaci byz</w:t>
      </w:r>
      <w:r w:rsidR="00A5193B" w:rsidRPr="00226BC0">
        <w:rPr>
          <w:sz w:val="22"/>
          <w:szCs w:val="20"/>
          <w:lang w:val="cs-CZ"/>
        </w:rPr>
        <w:t>nysu za nekoncepční a nahodilou – nevychází podle nich ze stabilních strategií podporovaných</w:t>
      </w:r>
      <w:r w:rsidR="000F16B5" w:rsidRPr="00226BC0">
        <w:rPr>
          <w:sz w:val="22"/>
          <w:szCs w:val="20"/>
          <w:lang w:val="cs-CZ"/>
        </w:rPr>
        <w:t xml:space="preserve"> širším společenským konsensem.</w:t>
      </w:r>
    </w:p>
    <w:p w14:paraId="64094B4C" w14:textId="77777777" w:rsidR="000F16B5" w:rsidRPr="00226BC0" w:rsidRDefault="000F16B5" w:rsidP="00D670F9">
      <w:pPr>
        <w:rPr>
          <w:i/>
          <w:sz w:val="22"/>
          <w:szCs w:val="20"/>
          <w:lang w:val="cs-CZ"/>
        </w:rPr>
      </w:pPr>
    </w:p>
    <w:p w14:paraId="539A9C38" w14:textId="7D3AE620" w:rsidR="000F16B5" w:rsidRPr="00EA4F22" w:rsidRDefault="000F16B5" w:rsidP="00D670F9">
      <w:pPr>
        <w:rPr>
          <w:sz w:val="22"/>
          <w:szCs w:val="20"/>
          <w:lang w:val="cs-CZ"/>
        </w:rPr>
      </w:pPr>
      <w:r w:rsidRPr="00226BC0">
        <w:rPr>
          <w:i/>
          <w:sz w:val="22"/>
          <w:szCs w:val="20"/>
          <w:lang w:val="cs-CZ"/>
        </w:rPr>
        <w:t>„Stejný počet, 86 % podnikatelů, se domnívá, že regulace byznysu se mění zbytečně často a z hlediska načasování bez jakékoliv snahy zohledňovat podnikatelský provozní cyklus. Jen asi pětina podnikatelů si myslí, že podnikatelská regulace je u nás přijímána transparentně a že je řádně vysvětlována,“</w:t>
      </w:r>
      <w:r w:rsidRPr="00226BC0">
        <w:rPr>
          <w:sz w:val="22"/>
          <w:szCs w:val="20"/>
          <w:lang w:val="cs-CZ"/>
        </w:rPr>
        <w:t xml:space="preserve"> doplnil Tomáš Babáček.</w:t>
      </w:r>
    </w:p>
    <w:p w14:paraId="757E5A0D" w14:textId="77777777" w:rsidR="00674377" w:rsidRPr="00674377" w:rsidRDefault="00674377" w:rsidP="00D670F9">
      <w:pPr>
        <w:rPr>
          <w:sz w:val="22"/>
          <w:szCs w:val="20"/>
          <w:lang w:val="cs-CZ"/>
        </w:rPr>
      </w:pPr>
    </w:p>
    <w:p w14:paraId="064773F9" w14:textId="77777777" w:rsidR="002A7CFE" w:rsidRPr="000923B1" w:rsidRDefault="002A7CFE" w:rsidP="00EF265E">
      <w:pPr>
        <w:rPr>
          <w:i/>
          <w:sz w:val="22"/>
          <w:szCs w:val="20"/>
          <w:lang w:val="cs-CZ"/>
        </w:rPr>
      </w:pPr>
      <w:r w:rsidRPr="000923B1">
        <w:rPr>
          <w:b/>
          <w:color w:val="00A1DE" w:themeColor="accent3"/>
          <w:sz w:val="22"/>
          <w:szCs w:val="22"/>
          <w:lang w:val="cs-CZ"/>
        </w:rPr>
        <w:t>Řekli k výsledkům anket</w:t>
      </w:r>
      <w:r w:rsidR="007D4777" w:rsidRPr="000923B1">
        <w:rPr>
          <w:b/>
          <w:color w:val="00A1DE" w:themeColor="accent3"/>
          <w:sz w:val="22"/>
          <w:szCs w:val="22"/>
          <w:lang w:val="cs-CZ"/>
        </w:rPr>
        <w:t>y Zákon roku 20</w:t>
      </w:r>
      <w:r w:rsidR="00467F0C" w:rsidRPr="000923B1">
        <w:rPr>
          <w:b/>
          <w:color w:val="00A1DE" w:themeColor="accent3"/>
          <w:sz w:val="22"/>
          <w:szCs w:val="22"/>
          <w:lang w:val="cs-CZ"/>
        </w:rPr>
        <w:t>15</w:t>
      </w:r>
    </w:p>
    <w:p w14:paraId="625E76F7" w14:textId="77777777" w:rsidR="00D20751" w:rsidRDefault="00D20751" w:rsidP="00D20751">
      <w:pPr>
        <w:rPr>
          <w:sz w:val="22"/>
          <w:szCs w:val="20"/>
          <w:lang w:val="cs-CZ"/>
        </w:rPr>
      </w:pPr>
    </w:p>
    <w:p w14:paraId="129467CA" w14:textId="468369D5" w:rsidR="00D20751" w:rsidRDefault="00D20751" w:rsidP="00D20751">
      <w:pPr>
        <w:rPr>
          <w:sz w:val="22"/>
          <w:szCs w:val="20"/>
          <w:lang w:val="cs-CZ"/>
        </w:rPr>
      </w:pPr>
      <w:r w:rsidRPr="00D20751">
        <w:rPr>
          <w:i/>
          <w:sz w:val="22"/>
          <w:szCs w:val="20"/>
          <w:lang w:val="cs-CZ"/>
        </w:rPr>
        <w:t>„Výsledky ankety potvrdily, že nejen zástupci neziskového sektoru ale i podnikatelé, obchodní společnosti a odborná veřejnost stojí o zavedení registru smluv a neshledávají v něm hrozbu pro podnikání. Zároveň je třeba upozornit, že je zákon v tuto chvíli znovu otevřen, a poslanci projednávají návrhy, kterými by došlo k rozšíření okruhu výjimek. Hrozí tak, že zákon jednak ztratí na přehlednosti, ale hlavně může být ohrožen jeho základní účel, kterým je kontrola nakládání s veřejnými prostředky,“</w:t>
      </w:r>
      <w:r>
        <w:rPr>
          <w:sz w:val="22"/>
          <w:szCs w:val="20"/>
          <w:lang w:val="cs-CZ"/>
        </w:rPr>
        <w:t xml:space="preserve"> poznamenala </w:t>
      </w:r>
      <w:r w:rsidRPr="00D20751">
        <w:rPr>
          <w:sz w:val="22"/>
          <w:szCs w:val="20"/>
          <w:lang w:val="cs-CZ"/>
        </w:rPr>
        <w:t>členka nominační rady Martina Mikolášková, právnička Transparency International.</w:t>
      </w:r>
    </w:p>
    <w:p w14:paraId="21995667" w14:textId="77777777" w:rsidR="00D20751" w:rsidRDefault="00D20751" w:rsidP="00055CB7">
      <w:pPr>
        <w:rPr>
          <w:i/>
          <w:sz w:val="22"/>
          <w:szCs w:val="20"/>
          <w:lang w:val="cs-CZ"/>
        </w:rPr>
      </w:pPr>
    </w:p>
    <w:p w14:paraId="057FF68A" w14:textId="25E0291A" w:rsidR="00F06277" w:rsidRDefault="00DE2BB8" w:rsidP="00055CB7">
      <w:pPr>
        <w:rPr>
          <w:sz w:val="22"/>
          <w:szCs w:val="20"/>
          <w:lang w:val="cs-CZ"/>
        </w:rPr>
      </w:pPr>
      <w:r w:rsidRPr="00DE2BB8">
        <w:rPr>
          <w:i/>
          <w:sz w:val="22"/>
          <w:szCs w:val="20"/>
          <w:lang w:val="cs-CZ"/>
        </w:rPr>
        <w:t>„</w:t>
      </w:r>
      <w:r w:rsidR="00CA0E8F" w:rsidRPr="00190CFD">
        <w:rPr>
          <w:i/>
          <w:sz w:val="22"/>
          <w:szCs w:val="20"/>
          <w:lang w:val="cs-CZ"/>
        </w:rPr>
        <w:t>Úspěch zákona o registru smluv odpovídá pozornosti, která je mu nyní věnována. Je to momentálně top téma pro</w:t>
      </w:r>
      <w:r w:rsidR="00CA0E8F">
        <w:rPr>
          <w:i/>
          <w:sz w:val="22"/>
          <w:szCs w:val="20"/>
          <w:lang w:val="cs-CZ"/>
        </w:rPr>
        <w:t xml:space="preserve"> odbornou i dotčenou veřejnost. </w:t>
      </w:r>
      <w:r w:rsidRPr="00DE2BB8">
        <w:rPr>
          <w:i/>
          <w:sz w:val="22"/>
          <w:szCs w:val="20"/>
          <w:lang w:val="cs-CZ"/>
        </w:rPr>
        <w:t>Třetí místo po zásluze obsadila novela zákona o svobodném přístupu k informacím zaměřená na tzv. big data. Zavedla revoluční právo on-line přístupu k databázím orgánů veřejné moci v otevřených, strojově čitelných formátech; to činí z práva na informace obor budoucnosti pro komerční využití hromadných dat, nové aplikace a rozvoj ICT businessu,“</w:t>
      </w:r>
      <w:r w:rsidRPr="00DE2BB8">
        <w:rPr>
          <w:sz w:val="22"/>
          <w:szCs w:val="20"/>
          <w:lang w:val="cs-CZ"/>
        </w:rPr>
        <w:t xml:space="preserve"> u</w:t>
      </w:r>
      <w:r>
        <w:rPr>
          <w:sz w:val="22"/>
          <w:szCs w:val="20"/>
          <w:lang w:val="cs-CZ"/>
        </w:rPr>
        <w:t xml:space="preserve">vedl František Korbel, </w:t>
      </w:r>
      <w:r w:rsidR="00190CFD">
        <w:rPr>
          <w:sz w:val="22"/>
          <w:szCs w:val="20"/>
          <w:lang w:val="cs-CZ"/>
        </w:rPr>
        <w:t xml:space="preserve">partner </w:t>
      </w:r>
      <w:r>
        <w:rPr>
          <w:sz w:val="22"/>
          <w:szCs w:val="20"/>
          <w:lang w:val="cs-CZ"/>
        </w:rPr>
        <w:t xml:space="preserve">advokátní kanceláře </w:t>
      </w:r>
      <w:r w:rsidRPr="00DE2BB8">
        <w:rPr>
          <w:sz w:val="22"/>
          <w:szCs w:val="20"/>
          <w:lang w:val="cs-CZ"/>
        </w:rPr>
        <w:t>Havel, Holásek &amp; Partners a dřívější dlouholetý náměstek ministra spravedlnosti.</w:t>
      </w:r>
    </w:p>
    <w:p w14:paraId="49875DFB" w14:textId="77777777" w:rsidR="00190CFD" w:rsidRDefault="00190CFD" w:rsidP="00055CB7">
      <w:pPr>
        <w:rPr>
          <w:sz w:val="22"/>
          <w:szCs w:val="20"/>
          <w:lang w:val="cs-CZ"/>
        </w:rPr>
      </w:pPr>
    </w:p>
    <w:p w14:paraId="301B12EE" w14:textId="727FD698" w:rsidR="00CA0E8F" w:rsidRDefault="00CA0E8F" w:rsidP="00055CB7">
      <w:pPr>
        <w:rPr>
          <w:i/>
          <w:sz w:val="22"/>
          <w:szCs w:val="20"/>
          <w:lang w:val="cs-CZ"/>
        </w:rPr>
      </w:pPr>
      <w:r>
        <w:rPr>
          <w:i/>
          <w:sz w:val="22"/>
          <w:szCs w:val="20"/>
          <w:lang w:val="cs-CZ"/>
        </w:rPr>
        <w:t>„</w:t>
      </w:r>
      <w:r w:rsidRPr="00CA0E8F">
        <w:rPr>
          <w:i/>
          <w:sz w:val="22"/>
          <w:szCs w:val="20"/>
          <w:lang w:val="cs-CZ"/>
        </w:rPr>
        <w:t xml:space="preserve">Jsem rád, že odborná veřejnost ocenila právě zákon o registru smluv. Transparence jistě není všelék na společenské neduhy, ani v nejmenším. Avšak při kontrole hospodaření veřejnými prostředky účinná je, to ukazují mimo jiné i roky dobrého a užitečného fungování zákona o svobodném přístupu k informacím. Registr smluv přinese hodně transparence za relativně málo peněz a ukáže veřejnosti, za co veřejná moc utrácí, způsobem, který umožní tyto informace systematicky analyzovat </w:t>
      </w:r>
      <w:r>
        <w:rPr>
          <w:i/>
          <w:sz w:val="22"/>
          <w:szCs w:val="20"/>
          <w:lang w:val="cs-CZ"/>
        </w:rPr>
        <w:t xml:space="preserve">a využívat,“ </w:t>
      </w:r>
      <w:r w:rsidRPr="00CA0E8F">
        <w:rPr>
          <w:sz w:val="22"/>
          <w:szCs w:val="20"/>
          <w:lang w:val="cs-CZ"/>
        </w:rPr>
        <w:t>řekl</w:t>
      </w:r>
      <w:r>
        <w:rPr>
          <w:sz w:val="22"/>
          <w:szCs w:val="20"/>
          <w:lang w:val="cs-CZ"/>
        </w:rPr>
        <w:t xml:space="preserve"> Karel Šimka, </w:t>
      </w:r>
      <w:r w:rsidRPr="00CA0E8F">
        <w:rPr>
          <w:sz w:val="22"/>
          <w:szCs w:val="20"/>
          <w:lang w:val="cs-CZ"/>
        </w:rPr>
        <w:t>soudce Nejvyššího správní soudu</w:t>
      </w:r>
      <w:r>
        <w:rPr>
          <w:sz w:val="22"/>
          <w:szCs w:val="20"/>
          <w:lang w:val="cs-CZ"/>
        </w:rPr>
        <w:t>.</w:t>
      </w:r>
      <w:r>
        <w:rPr>
          <w:i/>
          <w:sz w:val="22"/>
          <w:szCs w:val="20"/>
          <w:lang w:val="cs-CZ"/>
        </w:rPr>
        <w:t xml:space="preserve"> </w:t>
      </w:r>
    </w:p>
    <w:p w14:paraId="19B1F667" w14:textId="77777777" w:rsidR="00CA0E8F" w:rsidRDefault="00CA0E8F" w:rsidP="00055CB7">
      <w:pPr>
        <w:rPr>
          <w:i/>
          <w:sz w:val="22"/>
          <w:szCs w:val="20"/>
          <w:lang w:val="cs-CZ"/>
        </w:rPr>
      </w:pPr>
    </w:p>
    <w:p w14:paraId="7EB5AEA6" w14:textId="504F0A41" w:rsidR="00B84B7A" w:rsidRDefault="00BF6DE2" w:rsidP="00055CB7">
      <w:pPr>
        <w:rPr>
          <w:sz w:val="22"/>
          <w:szCs w:val="20"/>
          <w:lang w:val="cs-CZ"/>
        </w:rPr>
      </w:pPr>
      <w:r>
        <w:rPr>
          <w:i/>
          <w:sz w:val="22"/>
          <w:szCs w:val="20"/>
          <w:lang w:val="cs-CZ"/>
        </w:rPr>
        <w:t>„</w:t>
      </w:r>
      <w:r w:rsidR="00B84B7A" w:rsidRPr="00B84B7A">
        <w:rPr>
          <w:i/>
          <w:sz w:val="22"/>
          <w:szCs w:val="20"/>
          <w:lang w:val="cs-CZ"/>
        </w:rPr>
        <w:t>V dnešní době, kdy pod heslem boje proti daňovým únikům (proti kterému nelze samozřejmě ve vztahu k nelegálním daňovým únikům nic namítat a je nutné ho podpořit)</w:t>
      </w:r>
      <w:r w:rsidR="00634AEF">
        <w:rPr>
          <w:i/>
          <w:sz w:val="22"/>
          <w:szCs w:val="20"/>
          <w:lang w:val="cs-CZ"/>
        </w:rPr>
        <w:t>,</w:t>
      </w:r>
      <w:r w:rsidR="00B84B7A" w:rsidRPr="00B84B7A">
        <w:rPr>
          <w:i/>
          <w:sz w:val="22"/>
          <w:szCs w:val="20"/>
          <w:lang w:val="cs-CZ"/>
        </w:rPr>
        <w:t xml:space="preserve"> má většina změn v oblasti daňové, ale například i trestní charakter plošných opatření, které u poctivých podnikatelů vedou k větší administrativní náročnosti, hrozebně mnohdy smrtících sankcí a přinášejí mnohé výkladové problémy a nejednoznačnosti, se pozitivní změny hledají velmi obtížně. Je to o pomyslném hledání jehly v kupce sena. Chybí dle mého pozitivní změny pro poctivé podnikatele a pozitivní přístup k těmto podnikatelům, pro které by měl i nadále platit klientský přístup nejen ze strany správců daně, ale ze strany státu obecně,“ </w:t>
      </w:r>
      <w:proofErr w:type="gramStart"/>
      <w:r w:rsidR="00B84B7A" w:rsidRPr="00B84B7A">
        <w:rPr>
          <w:sz w:val="22"/>
          <w:szCs w:val="20"/>
          <w:lang w:val="cs-CZ"/>
        </w:rPr>
        <w:t>sdělil</w:t>
      </w:r>
      <w:proofErr w:type="gramEnd"/>
      <w:r w:rsidR="00B84B7A" w:rsidRPr="00B84B7A">
        <w:rPr>
          <w:sz w:val="22"/>
          <w:szCs w:val="20"/>
          <w:lang w:val="cs-CZ"/>
        </w:rPr>
        <w:t xml:space="preserve"> Jiří </w:t>
      </w:r>
      <w:proofErr w:type="gramStart"/>
      <w:r w:rsidR="00B84B7A" w:rsidRPr="00B84B7A">
        <w:rPr>
          <w:sz w:val="22"/>
          <w:szCs w:val="20"/>
          <w:lang w:val="cs-CZ"/>
        </w:rPr>
        <w:t>Nesrovnal</w:t>
      </w:r>
      <w:proofErr w:type="gramEnd"/>
      <w:r w:rsidR="00B84B7A" w:rsidRPr="00B84B7A">
        <w:rPr>
          <w:sz w:val="22"/>
          <w:szCs w:val="20"/>
          <w:lang w:val="cs-CZ"/>
        </w:rPr>
        <w:t>, člen prezidia, Komora daňových poradců ČR.</w:t>
      </w:r>
    </w:p>
    <w:p w14:paraId="68ECF106" w14:textId="77777777" w:rsidR="00343030" w:rsidRDefault="00343030" w:rsidP="00055CB7">
      <w:pPr>
        <w:rPr>
          <w:sz w:val="22"/>
          <w:szCs w:val="20"/>
          <w:lang w:val="cs-CZ"/>
        </w:rPr>
      </w:pPr>
    </w:p>
    <w:p w14:paraId="64E76A8A" w14:textId="34D50D95" w:rsidR="00343030" w:rsidRPr="00343030" w:rsidRDefault="00343030" w:rsidP="00055CB7">
      <w:pPr>
        <w:rPr>
          <w:sz w:val="22"/>
          <w:szCs w:val="20"/>
          <w:lang w:val="cs-CZ"/>
        </w:rPr>
      </w:pPr>
      <w:r w:rsidRPr="00343030">
        <w:rPr>
          <w:i/>
          <w:sz w:val="22"/>
          <w:szCs w:val="20"/>
          <w:lang w:val="cs-CZ"/>
        </w:rPr>
        <w:t>„Anketa Zákon roku má ukázat na takové legislativní počiny, které přispívají ke zlepšení podnikatelského prostředí. Myslím, že v případě výhry “registru smluv” jsme vylili dítě i s vaničkou. Na jedné straně chceme bojovat s korupcí a tudíž transparentně hospodařit s veřejnými prostředky a na druhé straně totálně svlékáme do naha podnikatelské subjekty, které ale působí v tržním prostředí, kde určité informace prostě nemohou být veřejně známé, protože to potlaču</w:t>
      </w:r>
      <w:r>
        <w:rPr>
          <w:i/>
          <w:sz w:val="22"/>
          <w:szCs w:val="20"/>
          <w:lang w:val="cs-CZ"/>
        </w:rPr>
        <w:t xml:space="preserve">je veškerá konkurenční pravidla,“ </w:t>
      </w:r>
      <w:r w:rsidRPr="00343030">
        <w:rPr>
          <w:sz w:val="22"/>
          <w:szCs w:val="20"/>
          <w:lang w:val="cs-CZ"/>
        </w:rPr>
        <w:t>uvedla</w:t>
      </w:r>
      <w:r>
        <w:rPr>
          <w:sz w:val="22"/>
          <w:szCs w:val="20"/>
          <w:lang w:val="cs-CZ"/>
        </w:rPr>
        <w:t xml:space="preserve"> Monika Zahálková, </w:t>
      </w:r>
      <w:r w:rsidRPr="00343030">
        <w:rPr>
          <w:sz w:val="22"/>
          <w:szCs w:val="20"/>
          <w:lang w:val="cs-CZ"/>
        </w:rPr>
        <w:t>výkonná ředitelka</w:t>
      </w:r>
      <w:r>
        <w:rPr>
          <w:sz w:val="22"/>
          <w:szCs w:val="20"/>
          <w:lang w:val="cs-CZ"/>
        </w:rPr>
        <w:t xml:space="preserve"> </w:t>
      </w:r>
      <w:r w:rsidRPr="00343030">
        <w:rPr>
          <w:sz w:val="22"/>
          <w:szCs w:val="20"/>
          <w:lang w:val="cs-CZ"/>
        </w:rPr>
        <w:t>Institutu členů správních orgánů</w:t>
      </w:r>
      <w:r>
        <w:rPr>
          <w:sz w:val="22"/>
          <w:szCs w:val="20"/>
          <w:lang w:val="cs-CZ"/>
        </w:rPr>
        <w:t>.</w:t>
      </w:r>
      <w:r>
        <w:rPr>
          <w:i/>
          <w:sz w:val="22"/>
          <w:szCs w:val="20"/>
          <w:lang w:val="cs-CZ"/>
        </w:rPr>
        <w:t xml:space="preserve"> </w:t>
      </w:r>
    </w:p>
    <w:p w14:paraId="692D54A0" w14:textId="77777777" w:rsidR="00190CFD" w:rsidRDefault="00190CFD" w:rsidP="00055CB7">
      <w:pPr>
        <w:rPr>
          <w:sz w:val="22"/>
          <w:szCs w:val="20"/>
          <w:lang w:val="cs-CZ"/>
        </w:rPr>
      </w:pPr>
    </w:p>
    <w:p w14:paraId="2C51A6F1" w14:textId="77777777" w:rsidR="00594D75" w:rsidRPr="000923B1" w:rsidRDefault="00594D75" w:rsidP="00594D75">
      <w:pPr>
        <w:rPr>
          <w:b/>
          <w:color w:val="00A1DE" w:themeColor="accent3"/>
          <w:sz w:val="22"/>
          <w:szCs w:val="22"/>
          <w:lang w:val="cs-CZ"/>
        </w:rPr>
      </w:pPr>
      <w:r w:rsidRPr="000923B1">
        <w:rPr>
          <w:b/>
          <w:color w:val="00A1DE" w:themeColor="accent3"/>
          <w:sz w:val="22"/>
          <w:szCs w:val="22"/>
          <w:lang w:val="cs-CZ"/>
        </w:rPr>
        <w:t>Výsledky ankety Zákon roku 201</w:t>
      </w:r>
      <w:r w:rsidR="00441948" w:rsidRPr="000923B1">
        <w:rPr>
          <w:b/>
          <w:color w:val="00A1DE" w:themeColor="accent3"/>
          <w:sz w:val="22"/>
          <w:szCs w:val="22"/>
          <w:lang w:val="cs-CZ"/>
        </w:rPr>
        <w:t>5</w:t>
      </w:r>
    </w:p>
    <w:p w14:paraId="537E2CBD" w14:textId="77777777" w:rsidR="00594D75" w:rsidRPr="000923B1" w:rsidRDefault="00594D75" w:rsidP="00594D75">
      <w:pPr>
        <w:rPr>
          <w:b/>
          <w:color w:val="00A1DE" w:themeColor="accent3"/>
          <w:sz w:val="22"/>
          <w:szCs w:val="22"/>
          <w:lang w:val="cs-CZ"/>
        </w:rPr>
      </w:pPr>
    </w:p>
    <w:tbl>
      <w:tblPr>
        <w:tblStyle w:val="Deloittetable2"/>
        <w:tblW w:w="0" w:type="auto"/>
        <w:tblLook w:val="04A0" w:firstRow="1" w:lastRow="0" w:firstColumn="1" w:lastColumn="0" w:noHBand="0" w:noVBand="1"/>
      </w:tblPr>
      <w:tblGrid>
        <w:gridCol w:w="661"/>
        <w:gridCol w:w="145"/>
        <w:gridCol w:w="7232"/>
        <w:gridCol w:w="948"/>
      </w:tblGrid>
      <w:tr w:rsidR="00C75710" w:rsidRPr="000923B1" w14:paraId="66C3A65D" w14:textId="77777777" w:rsidTr="005C50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1" w:type="dxa"/>
          </w:tcPr>
          <w:p w14:paraId="2A87298D" w14:textId="77777777" w:rsidR="00C75710" w:rsidRPr="000923B1" w:rsidRDefault="00C75710" w:rsidP="00B9007A">
            <w:pPr>
              <w:rPr>
                <w:color w:val="FFFFFF" w:themeColor="background1"/>
                <w:sz w:val="22"/>
                <w:szCs w:val="22"/>
                <w:lang w:val="cs-CZ"/>
              </w:rPr>
            </w:pPr>
          </w:p>
        </w:tc>
        <w:tc>
          <w:tcPr>
            <w:tcW w:w="145" w:type="dxa"/>
          </w:tcPr>
          <w:p w14:paraId="1E51C65D" w14:textId="77777777" w:rsidR="00C75710" w:rsidRPr="000923B1" w:rsidRDefault="00C75710" w:rsidP="00B9007A">
            <w:pPr>
              <w:cnfStyle w:val="100000000000" w:firstRow="1" w:lastRow="0" w:firstColumn="0" w:lastColumn="0" w:oddVBand="0" w:evenVBand="0" w:oddHBand="0" w:evenHBand="0" w:firstRowFirstColumn="0" w:firstRowLastColumn="0" w:lastRowFirstColumn="0" w:lastRowLastColumn="0"/>
              <w:rPr>
                <w:color w:val="FFFFFF" w:themeColor="background1"/>
                <w:sz w:val="22"/>
                <w:szCs w:val="22"/>
                <w:lang w:val="cs-CZ"/>
              </w:rPr>
            </w:pPr>
          </w:p>
        </w:tc>
        <w:tc>
          <w:tcPr>
            <w:tcW w:w="7232" w:type="dxa"/>
          </w:tcPr>
          <w:p w14:paraId="4233A3D8" w14:textId="77777777" w:rsidR="00C75710" w:rsidRPr="000923B1" w:rsidRDefault="00C75710" w:rsidP="00A16E01">
            <w:pPr>
              <w:cnfStyle w:val="100000000000" w:firstRow="1" w:lastRow="0" w:firstColumn="0" w:lastColumn="0" w:oddVBand="0" w:evenVBand="0" w:oddHBand="0" w:evenHBand="0" w:firstRowFirstColumn="0" w:firstRowLastColumn="0" w:lastRowFirstColumn="0" w:lastRowLastColumn="0"/>
              <w:rPr>
                <w:color w:val="FFFFFF" w:themeColor="background1"/>
                <w:sz w:val="22"/>
                <w:szCs w:val="22"/>
                <w:lang w:val="cs-CZ"/>
              </w:rPr>
            </w:pPr>
            <w:r w:rsidRPr="000923B1">
              <w:rPr>
                <w:color w:val="FFFFFF" w:themeColor="background1"/>
                <w:sz w:val="22"/>
                <w:szCs w:val="22"/>
                <w:lang w:val="cs-CZ"/>
              </w:rPr>
              <w:t>Zákon roku 201</w:t>
            </w:r>
            <w:r w:rsidR="00A16E01" w:rsidRPr="000923B1">
              <w:rPr>
                <w:color w:val="FFFFFF" w:themeColor="background1"/>
                <w:sz w:val="22"/>
                <w:szCs w:val="22"/>
                <w:lang w:val="cs-CZ"/>
              </w:rPr>
              <w:t>5</w:t>
            </w:r>
            <w:r w:rsidRPr="000923B1">
              <w:rPr>
                <w:color w:val="FFFFFF" w:themeColor="background1"/>
                <w:sz w:val="22"/>
                <w:szCs w:val="22"/>
                <w:lang w:val="cs-CZ"/>
              </w:rPr>
              <w:t xml:space="preserve"> – Nejlepší legislativní počin pro podnikatelské prostředí</w:t>
            </w:r>
          </w:p>
        </w:tc>
        <w:tc>
          <w:tcPr>
            <w:tcW w:w="948" w:type="dxa"/>
          </w:tcPr>
          <w:p w14:paraId="522168F0" w14:textId="77777777" w:rsidR="00C75710" w:rsidRPr="000923B1" w:rsidRDefault="00C75710" w:rsidP="00B9007A">
            <w:pPr>
              <w:jc w:val="center"/>
              <w:cnfStyle w:val="100000000000" w:firstRow="1" w:lastRow="0" w:firstColumn="0" w:lastColumn="0" w:oddVBand="0" w:evenVBand="0" w:oddHBand="0" w:evenHBand="0" w:firstRowFirstColumn="0" w:firstRowLastColumn="0" w:lastRowFirstColumn="0" w:lastRowLastColumn="0"/>
              <w:rPr>
                <w:color w:val="00A1DE" w:themeColor="accent3"/>
                <w:sz w:val="22"/>
                <w:szCs w:val="22"/>
                <w:lang w:val="cs-CZ"/>
              </w:rPr>
            </w:pPr>
            <w:r w:rsidRPr="000923B1">
              <w:rPr>
                <w:color w:val="FFFFFF" w:themeColor="background1"/>
                <w:sz w:val="22"/>
                <w:szCs w:val="22"/>
                <w:lang w:val="cs-CZ"/>
              </w:rPr>
              <w:t>%</w:t>
            </w:r>
          </w:p>
        </w:tc>
      </w:tr>
      <w:tr w:rsidR="00C75710" w:rsidRPr="000923B1" w14:paraId="33F4B3B9" w14:textId="77777777" w:rsidTr="00391D3A">
        <w:tc>
          <w:tcPr>
            <w:cnfStyle w:val="001000000000" w:firstRow="0" w:lastRow="0" w:firstColumn="1" w:lastColumn="0" w:oddVBand="0" w:evenVBand="0" w:oddHBand="0" w:evenHBand="0" w:firstRowFirstColumn="0" w:firstRowLastColumn="0" w:lastRowFirstColumn="0" w:lastRowLastColumn="0"/>
            <w:tcW w:w="661" w:type="dxa"/>
          </w:tcPr>
          <w:p w14:paraId="7AD21C31" w14:textId="77777777" w:rsidR="00C75710" w:rsidRPr="000923B1" w:rsidRDefault="00C75710" w:rsidP="00B9007A">
            <w:pPr>
              <w:rPr>
                <w:color w:val="000000" w:themeColor="text1"/>
                <w:sz w:val="22"/>
                <w:szCs w:val="22"/>
                <w:lang w:val="cs-CZ"/>
              </w:rPr>
            </w:pPr>
            <w:r w:rsidRPr="000923B1">
              <w:rPr>
                <w:color w:val="000000" w:themeColor="text1"/>
                <w:sz w:val="22"/>
                <w:szCs w:val="22"/>
                <w:lang w:val="cs-CZ"/>
              </w:rPr>
              <w:t>1.</w:t>
            </w:r>
          </w:p>
        </w:tc>
        <w:tc>
          <w:tcPr>
            <w:tcW w:w="145" w:type="dxa"/>
          </w:tcPr>
          <w:p w14:paraId="69907EE8" w14:textId="77777777" w:rsidR="00C75710" w:rsidRPr="000923B1" w:rsidRDefault="00C75710" w:rsidP="00B9007A">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cs-CZ"/>
              </w:rPr>
            </w:pPr>
          </w:p>
        </w:tc>
        <w:tc>
          <w:tcPr>
            <w:tcW w:w="7232" w:type="dxa"/>
          </w:tcPr>
          <w:p w14:paraId="676174E7" w14:textId="77777777" w:rsidR="00C75710" w:rsidRPr="000923B1" w:rsidRDefault="00C601FE" w:rsidP="00C102EE">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cs-CZ"/>
              </w:rPr>
            </w:pPr>
            <w:r w:rsidRPr="000923B1">
              <w:rPr>
                <w:color w:val="000000" w:themeColor="text1"/>
                <w:sz w:val="22"/>
                <w:szCs w:val="22"/>
                <w:lang w:val="cs-CZ"/>
              </w:rPr>
              <w:t>Transparentnost nakládání s veřejnými prostředky (Registr smluv)</w:t>
            </w:r>
          </w:p>
        </w:tc>
        <w:tc>
          <w:tcPr>
            <w:tcW w:w="948" w:type="dxa"/>
          </w:tcPr>
          <w:p w14:paraId="20CEADF7" w14:textId="77777777" w:rsidR="00C75710" w:rsidRPr="00EB5D85" w:rsidRDefault="00C601FE" w:rsidP="006A09B7">
            <w:pPr>
              <w:cnfStyle w:val="000000000000" w:firstRow="0" w:lastRow="0" w:firstColumn="0" w:lastColumn="0" w:oddVBand="0" w:evenVBand="0" w:oddHBand="0" w:evenHBand="0" w:firstRowFirstColumn="0" w:firstRowLastColumn="0" w:lastRowFirstColumn="0" w:lastRowLastColumn="0"/>
              <w:rPr>
                <w:b/>
                <w:color w:val="00A1DE" w:themeColor="accent3"/>
                <w:sz w:val="22"/>
                <w:szCs w:val="22"/>
                <w:lang w:val="cs-CZ"/>
              </w:rPr>
            </w:pPr>
            <w:r w:rsidRPr="00EB5D85">
              <w:rPr>
                <w:b/>
                <w:color w:val="000000" w:themeColor="text1"/>
                <w:sz w:val="22"/>
                <w:szCs w:val="22"/>
                <w:lang w:val="cs-CZ"/>
              </w:rPr>
              <w:t>61</w:t>
            </w:r>
            <w:r w:rsidR="00C75710" w:rsidRPr="00EB5D85">
              <w:rPr>
                <w:b/>
                <w:color w:val="000000" w:themeColor="text1"/>
                <w:sz w:val="22"/>
                <w:szCs w:val="22"/>
                <w:lang w:val="cs-CZ"/>
              </w:rPr>
              <w:t xml:space="preserve"> %</w:t>
            </w:r>
          </w:p>
        </w:tc>
      </w:tr>
      <w:tr w:rsidR="00C75710" w:rsidRPr="000923B1" w14:paraId="17100378" w14:textId="77777777" w:rsidTr="001D4456">
        <w:tc>
          <w:tcPr>
            <w:cnfStyle w:val="001000000000" w:firstRow="0" w:lastRow="0" w:firstColumn="1" w:lastColumn="0" w:oddVBand="0" w:evenVBand="0" w:oddHBand="0" w:evenHBand="0" w:firstRowFirstColumn="0" w:firstRowLastColumn="0" w:lastRowFirstColumn="0" w:lastRowLastColumn="0"/>
            <w:tcW w:w="661" w:type="dxa"/>
          </w:tcPr>
          <w:p w14:paraId="4D9F95A0" w14:textId="77777777" w:rsidR="00C75710" w:rsidRPr="000923B1" w:rsidRDefault="00C75710" w:rsidP="00B9007A">
            <w:pPr>
              <w:rPr>
                <w:color w:val="000000" w:themeColor="text1"/>
                <w:sz w:val="22"/>
                <w:szCs w:val="22"/>
                <w:lang w:val="cs-CZ"/>
              </w:rPr>
            </w:pPr>
            <w:r w:rsidRPr="000923B1">
              <w:rPr>
                <w:color w:val="000000" w:themeColor="text1"/>
                <w:sz w:val="22"/>
                <w:szCs w:val="22"/>
                <w:lang w:val="cs-CZ"/>
              </w:rPr>
              <w:t>2.</w:t>
            </w:r>
          </w:p>
        </w:tc>
        <w:tc>
          <w:tcPr>
            <w:tcW w:w="145" w:type="dxa"/>
          </w:tcPr>
          <w:p w14:paraId="7E3BF7A8" w14:textId="77777777" w:rsidR="00C75710" w:rsidRPr="000923B1" w:rsidRDefault="00C75710" w:rsidP="00B9007A">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cs-CZ"/>
              </w:rPr>
            </w:pPr>
          </w:p>
        </w:tc>
        <w:tc>
          <w:tcPr>
            <w:tcW w:w="7232" w:type="dxa"/>
          </w:tcPr>
          <w:p w14:paraId="5D98F4BF" w14:textId="77777777" w:rsidR="00C75710" w:rsidRPr="000923B1" w:rsidRDefault="00C601FE" w:rsidP="00C601FE">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cs-CZ"/>
              </w:rPr>
            </w:pPr>
            <w:r w:rsidRPr="000923B1">
              <w:rPr>
                <w:color w:val="000000" w:themeColor="text1"/>
                <w:sz w:val="22"/>
                <w:szCs w:val="22"/>
                <w:lang w:val="cs-CZ"/>
              </w:rPr>
              <w:t>Zelená malým a středním podnikům (diferenciace povinností novelou zákona o účetnictví)</w:t>
            </w:r>
          </w:p>
        </w:tc>
        <w:tc>
          <w:tcPr>
            <w:tcW w:w="948" w:type="dxa"/>
          </w:tcPr>
          <w:p w14:paraId="4FF22205" w14:textId="77777777" w:rsidR="00C75710" w:rsidRPr="00EB5D85" w:rsidRDefault="00C601FE" w:rsidP="006A09B7">
            <w:pPr>
              <w:cnfStyle w:val="000000000000" w:firstRow="0" w:lastRow="0" w:firstColumn="0" w:lastColumn="0" w:oddVBand="0" w:evenVBand="0" w:oddHBand="0" w:evenHBand="0" w:firstRowFirstColumn="0" w:firstRowLastColumn="0" w:lastRowFirstColumn="0" w:lastRowLastColumn="0"/>
              <w:rPr>
                <w:b/>
                <w:color w:val="00A1DE" w:themeColor="accent3"/>
                <w:sz w:val="22"/>
                <w:szCs w:val="22"/>
                <w:lang w:val="cs-CZ"/>
              </w:rPr>
            </w:pPr>
            <w:r w:rsidRPr="00EB5D85">
              <w:rPr>
                <w:b/>
                <w:color w:val="000000" w:themeColor="text1"/>
                <w:sz w:val="22"/>
                <w:szCs w:val="22"/>
                <w:lang w:val="cs-CZ"/>
              </w:rPr>
              <w:t>1</w:t>
            </w:r>
            <w:r w:rsidR="006A09B7" w:rsidRPr="00EB5D85">
              <w:rPr>
                <w:b/>
                <w:color w:val="000000" w:themeColor="text1"/>
                <w:sz w:val="22"/>
                <w:szCs w:val="22"/>
                <w:lang w:val="cs-CZ"/>
              </w:rPr>
              <w:t>5</w:t>
            </w:r>
            <w:r w:rsidR="00C75710" w:rsidRPr="00EB5D85">
              <w:rPr>
                <w:b/>
                <w:color w:val="000000" w:themeColor="text1"/>
                <w:sz w:val="22"/>
                <w:szCs w:val="22"/>
                <w:lang w:val="cs-CZ"/>
              </w:rPr>
              <w:t xml:space="preserve"> %</w:t>
            </w:r>
          </w:p>
        </w:tc>
      </w:tr>
      <w:tr w:rsidR="00C75710" w:rsidRPr="000923B1" w14:paraId="5E890CCB" w14:textId="77777777" w:rsidTr="002935FA">
        <w:tc>
          <w:tcPr>
            <w:cnfStyle w:val="001000000000" w:firstRow="0" w:lastRow="0" w:firstColumn="1" w:lastColumn="0" w:oddVBand="0" w:evenVBand="0" w:oddHBand="0" w:evenHBand="0" w:firstRowFirstColumn="0" w:firstRowLastColumn="0" w:lastRowFirstColumn="0" w:lastRowLastColumn="0"/>
            <w:tcW w:w="661" w:type="dxa"/>
          </w:tcPr>
          <w:p w14:paraId="5C61CA6A" w14:textId="77777777" w:rsidR="00C75710" w:rsidRPr="000923B1" w:rsidRDefault="00C75710" w:rsidP="00B9007A">
            <w:pPr>
              <w:rPr>
                <w:color w:val="000000" w:themeColor="text1"/>
                <w:sz w:val="22"/>
                <w:szCs w:val="22"/>
                <w:lang w:val="cs-CZ"/>
              </w:rPr>
            </w:pPr>
            <w:r w:rsidRPr="000923B1">
              <w:rPr>
                <w:color w:val="000000" w:themeColor="text1"/>
                <w:sz w:val="22"/>
                <w:szCs w:val="22"/>
                <w:lang w:val="cs-CZ"/>
              </w:rPr>
              <w:t>3.</w:t>
            </w:r>
          </w:p>
        </w:tc>
        <w:tc>
          <w:tcPr>
            <w:tcW w:w="145" w:type="dxa"/>
          </w:tcPr>
          <w:p w14:paraId="2E9F2AB6" w14:textId="77777777" w:rsidR="00C75710" w:rsidRPr="000923B1" w:rsidRDefault="00C75710" w:rsidP="00B9007A">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cs-CZ"/>
              </w:rPr>
            </w:pPr>
          </w:p>
        </w:tc>
        <w:tc>
          <w:tcPr>
            <w:tcW w:w="7232" w:type="dxa"/>
          </w:tcPr>
          <w:p w14:paraId="2B3658AB" w14:textId="77777777" w:rsidR="00C75710" w:rsidRPr="000923B1" w:rsidRDefault="00C601FE" w:rsidP="00C601FE">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cs-CZ"/>
              </w:rPr>
            </w:pPr>
            <w:r w:rsidRPr="000923B1">
              <w:rPr>
                <w:color w:val="000000" w:themeColor="text1"/>
                <w:sz w:val="22"/>
                <w:szCs w:val="22"/>
                <w:lang w:val="cs-CZ"/>
              </w:rPr>
              <w:t>Data veřejných orgánů ke komerčnímu využití (novela zákona o svobodném přístupu k informacím)</w:t>
            </w:r>
          </w:p>
        </w:tc>
        <w:tc>
          <w:tcPr>
            <w:tcW w:w="948" w:type="dxa"/>
          </w:tcPr>
          <w:p w14:paraId="5EF455B6" w14:textId="77777777" w:rsidR="00C75710" w:rsidRPr="00EB5D85" w:rsidRDefault="00C601FE" w:rsidP="006A09B7">
            <w:pPr>
              <w:cnfStyle w:val="000000000000" w:firstRow="0" w:lastRow="0" w:firstColumn="0" w:lastColumn="0" w:oddVBand="0" w:evenVBand="0" w:oddHBand="0" w:evenHBand="0" w:firstRowFirstColumn="0" w:firstRowLastColumn="0" w:lastRowFirstColumn="0" w:lastRowLastColumn="0"/>
              <w:rPr>
                <w:b/>
                <w:color w:val="00A1DE" w:themeColor="accent3"/>
                <w:sz w:val="22"/>
                <w:szCs w:val="22"/>
                <w:lang w:val="cs-CZ"/>
              </w:rPr>
            </w:pPr>
            <w:r w:rsidRPr="00EB5D85">
              <w:rPr>
                <w:b/>
                <w:color w:val="000000" w:themeColor="text1"/>
                <w:sz w:val="22"/>
                <w:szCs w:val="22"/>
                <w:lang w:val="cs-CZ"/>
              </w:rPr>
              <w:t>12 %</w:t>
            </w:r>
          </w:p>
        </w:tc>
      </w:tr>
      <w:tr w:rsidR="00C75710" w:rsidRPr="000923B1" w14:paraId="09890F0B" w14:textId="77777777" w:rsidTr="0058137D">
        <w:tc>
          <w:tcPr>
            <w:cnfStyle w:val="001000000000" w:firstRow="0" w:lastRow="0" w:firstColumn="1" w:lastColumn="0" w:oddVBand="0" w:evenVBand="0" w:oddHBand="0" w:evenHBand="0" w:firstRowFirstColumn="0" w:firstRowLastColumn="0" w:lastRowFirstColumn="0" w:lastRowLastColumn="0"/>
            <w:tcW w:w="661" w:type="dxa"/>
          </w:tcPr>
          <w:p w14:paraId="4ABCB43E" w14:textId="77777777" w:rsidR="00C75710" w:rsidRPr="000923B1" w:rsidRDefault="00C75710" w:rsidP="00B9007A">
            <w:pPr>
              <w:rPr>
                <w:color w:val="000000" w:themeColor="text1"/>
                <w:sz w:val="22"/>
                <w:szCs w:val="22"/>
                <w:lang w:val="cs-CZ"/>
              </w:rPr>
            </w:pPr>
            <w:r w:rsidRPr="000923B1">
              <w:rPr>
                <w:color w:val="000000" w:themeColor="text1"/>
                <w:sz w:val="22"/>
                <w:szCs w:val="22"/>
                <w:lang w:val="cs-CZ"/>
              </w:rPr>
              <w:t>4.</w:t>
            </w:r>
          </w:p>
        </w:tc>
        <w:tc>
          <w:tcPr>
            <w:tcW w:w="145" w:type="dxa"/>
          </w:tcPr>
          <w:p w14:paraId="445B88F6" w14:textId="77777777" w:rsidR="00C75710" w:rsidRPr="000923B1" w:rsidRDefault="00C75710" w:rsidP="00B9007A">
            <w:pPr>
              <w:cnfStyle w:val="000000000000" w:firstRow="0" w:lastRow="0" w:firstColumn="0" w:lastColumn="0" w:oddVBand="0" w:evenVBand="0" w:oddHBand="0" w:evenHBand="0" w:firstRowFirstColumn="0" w:firstRowLastColumn="0" w:lastRowFirstColumn="0" w:lastRowLastColumn="0"/>
              <w:rPr>
                <w:b/>
                <w:color w:val="00A1DE" w:themeColor="accent3"/>
                <w:sz w:val="22"/>
                <w:szCs w:val="22"/>
                <w:lang w:val="cs-CZ"/>
              </w:rPr>
            </w:pPr>
          </w:p>
        </w:tc>
        <w:tc>
          <w:tcPr>
            <w:tcW w:w="7232" w:type="dxa"/>
          </w:tcPr>
          <w:p w14:paraId="06A2286D" w14:textId="77777777" w:rsidR="00C75710" w:rsidRPr="000923B1" w:rsidRDefault="00C601FE" w:rsidP="00C601FE">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cs-CZ"/>
              </w:rPr>
            </w:pPr>
            <w:r w:rsidRPr="000923B1">
              <w:rPr>
                <w:color w:val="000000" w:themeColor="text1"/>
                <w:sz w:val="22"/>
                <w:szCs w:val="22"/>
                <w:lang w:val="cs-CZ"/>
              </w:rPr>
              <w:t>Veřejné zakázky odpovědně, ale také realisticky (drobná zlepšení zákona o veřejných zakázkách)</w:t>
            </w:r>
          </w:p>
        </w:tc>
        <w:tc>
          <w:tcPr>
            <w:tcW w:w="948" w:type="dxa"/>
          </w:tcPr>
          <w:p w14:paraId="15F59606" w14:textId="77777777" w:rsidR="00C75710" w:rsidRPr="00EB5D85" w:rsidRDefault="006A09B7" w:rsidP="00C601FE">
            <w:pPr>
              <w:cnfStyle w:val="000000000000" w:firstRow="0" w:lastRow="0" w:firstColumn="0" w:lastColumn="0" w:oddVBand="0" w:evenVBand="0" w:oddHBand="0" w:evenHBand="0" w:firstRowFirstColumn="0" w:firstRowLastColumn="0" w:lastRowFirstColumn="0" w:lastRowLastColumn="0"/>
              <w:rPr>
                <w:b/>
                <w:color w:val="00A1DE" w:themeColor="accent3"/>
                <w:sz w:val="22"/>
                <w:szCs w:val="22"/>
                <w:lang w:val="cs-CZ"/>
              </w:rPr>
            </w:pPr>
            <w:r w:rsidRPr="00EB5D85">
              <w:rPr>
                <w:b/>
                <w:color w:val="000000" w:themeColor="text1"/>
                <w:sz w:val="22"/>
                <w:szCs w:val="22"/>
                <w:lang w:val="cs-CZ"/>
              </w:rPr>
              <w:t>8</w:t>
            </w:r>
            <w:r w:rsidR="00C75710" w:rsidRPr="00EB5D85">
              <w:rPr>
                <w:b/>
                <w:color w:val="000000" w:themeColor="text1"/>
                <w:sz w:val="22"/>
                <w:szCs w:val="22"/>
                <w:lang w:val="cs-CZ"/>
              </w:rPr>
              <w:t xml:space="preserve"> %</w:t>
            </w:r>
          </w:p>
        </w:tc>
      </w:tr>
      <w:tr w:rsidR="00C75710" w:rsidRPr="000923B1" w14:paraId="14E90D2B" w14:textId="77777777" w:rsidTr="00114043">
        <w:tc>
          <w:tcPr>
            <w:cnfStyle w:val="001000000000" w:firstRow="0" w:lastRow="0" w:firstColumn="1" w:lastColumn="0" w:oddVBand="0" w:evenVBand="0" w:oddHBand="0" w:evenHBand="0" w:firstRowFirstColumn="0" w:firstRowLastColumn="0" w:lastRowFirstColumn="0" w:lastRowLastColumn="0"/>
            <w:tcW w:w="661" w:type="dxa"/>
          </w:tcPr>
          <w:p w14:paraId="6A12C893" w14:textId="77777777" w:rsidR="00C75710" w:rsidRPr="000923B1" w:rsidRDefault="00C75710" w:rsidP="00B9007A">
            <w:pPr>
              <w:rPr>
                <w:color w:val="000000" w:themeColor="text1"/>
                <w:sz w:val="22"/>
                <w:szCs w:val="22"/>
                <w:lang w:val="cs-CZ"/>
              </w:rPr>
            </w:pPr>
            <w:r w:rsidRPr="000923B1">
              <w:rPr>
                <w:color w:val="000000" w:themeColor="text1"/>
                <w:sz w:val="22"/>
                <w:szCs w:val="22"/>
                <w:lang w:val="cs-CZ"/>
              </w:rPr>
              <w:t>5.</w:t>
            </w:r>
          </w:p>
        </w:tc>
        <w:tc>
          <w:tcPr>
            <w:tcW w:w="145" w:type="dxa"/>
          </w:tcPr>
          <w:p w14:paraId="6DA5965A" w14:textId="77777777" w:rsidR="00C75710" w:rsidRPr="000923B1" w:rsidRDefault="00C75710" w:rsidP="00B9007A">
            <w:pPr>
              <w:cnfStyle w:val="000000000000" w:firstRow="0" w:lastRow="0" w:firstColumn="0" w:lastColumn="0" w:oddVBand="0" w:evenVBand="0" w:oddHBand="0" w:evenHBand="0" w:firstRowFirstColumn="0" w:firstRowLastColumn="0" w:lastRowFirstColumn="0" w:lastRowLastColumn="0"/>
              <w:rPr>
                <w:b/>
                <w:color w:val="00A1DE" w:themeColor="accent3"/>
                <w:sz w:val="22"/>
                <w:szCs w:val="22"/>
                <w:lang w:val="cs-CZ"/>
              </w:rPr>
            </w:pPr>
          </w:p>
        </w:tc>
        <w:tc>
          <w:tcPr>
            <w:tcW w:w="7232" w:type="dxa"/>
          </w:tcPr>
          <w:p w14:paraId="0485EA91" w14:textId="77777777" w:rsidR="00C75710" w:rsidRPr="000923B1" w:rsidRDefault="00C601FE" w:rsidP="00C601FE">
            <w:pPr>
              <w:cnfStyle w:val="000000000000" w:firstRow="0" w:lastRow="0" w:firstColumn="0" w:lastColumn="0" w:oddVBand="0" w:evenVBand="0" w:oddHBand="0" w:evenHBand="0" w:firstRowFirstColumn="0" w:firstRowLastColumn="0" w:lastRowFirstColumn="0" w:lastRowLastColumn="0"/>
              <w:rPr>
                <w:color w:val="000000" w:themeColor="text1"/>
                <w:sz w:val="22"/>
                <w:szCs w:val="22"/>
                <w:lang w:val="cs-CZ"/>
              </w:rPr>
            </w:pPr>
            <w:r w:rsidRPr="000923B1">
              <w:rPr>
                <w:color w:val="000000" w:themeColor="text1"/>
                <w:sz w:val="22"/>
                <w:szCs w:val="22"/>
                <w:lang w:val="cs-CZ"/>
              </w:rPr>
              <w:t>Realističtější podmínky čerpání investičních pobídek (novela zákona o investičních pobídkách a o daních z příjmů)</w:t>
            </w:r>
          </w:p>
        </w:tc>
        <w:tc>
          <w:tcPr>
            <w:tcW w:w="948" w:type="dxa"/>
          </w:tcPr>
          <w:p w14:paraId="2084777F" w14:textId="77777777" w:rsidR="00C75710" w:rsidRPr="00EB5D85" w:rsidRDefault="00C601FE" w:rsidP="006A09B7">
            <w:pPr>
              <w:cnfStyle w:val="000000000000" w:firstRow="0" w:lastRow="0" w:firstColumn="0" w:lastColumn="0" w:oddVBand="0" w:evenVBand="0" w:oddHBand="0" w:evenHBand="0" w:firstRowFirstColumn="0" w:firstRowLastColumn="0" w:lastRowFirstColumn="0" w:lastRowLastColumn="0"/>
              <w:rPr>
                <w:b/>
                <w:color w:val="00A1DE" w:themeColor="accent3"/>
                <w:sz w:val="22"/>
                <w:szCs w:val="22"/>
                <w:lang w:val="cs-CZ"/>
              </w:rPr>
            </w:pPr>
            <w:r w:rsidRPr="00EB5D85">
              <w:rPr>
                <w:b/>
                <w:color w:val="000000" w:themeColor="text1"/>
                <w:sz w:val="22"/>
                <w:szCs w:val="22"/>
                <w:lang w:val="cs-CZ"/>
              </w:rPr>
              <w:t>4 %</w:t>
            </w:r>
          </w:p>
        </w:tc>
      </w:tr>
    </w:tbl>
    <w:p w14:paraId="4BAAEFC8" w14:textId="77777777" w:rsidR="00594D75" w:rsidRPr="000923B1" w:rsidRDefault="00594D75" w:rsidP="00594D75">
      <w:pPr>
        <w:rPr>
          <w:b/>
          <w:color w:val="00A1DE" w:themeColor="accent3"/>
          <w:sz w:val="22"/>
          <w:szCs w:val="22"/>
          <w:lang w:val="cs-CZ"/>
        </w:rPr>
      </w:pPr>
    </w:p>
    <w:p w14:paraId="77BD983B" w14:textId="77777777" w:rsidR="003D36B5" w:rsidRPr="000923B1" w:rsidRDefault="003C05CF" w:rsidP="00CB1F1E">
      <w:pPr>
        <w:rPr>
          <w:bCs/>
          <w:sz w:val="22"/>
          <w:szCs w:val="20"/>
          <w:lang w:val="cs-CZ"/>
        </w:rPr>
      </w:pPr>
      <w:r w:rsidRPr="000923B1">
        <w:rPr>
          <w:bCs/>
          <w:sz w:val="22"/>
          <w:szCs w:val="20"/>
          <w:lang w:val="cs-CZ"/>
        </w:rPr>
        <w:t xml:space="preserve">O výsledcích </w:t>
      </w:r>
      <w:r w:rsidR="0046267B" w:rsidRPr="000923B1">
        <w:rPr>
          <w:bCs/>
          <w:sz w:val="22"/>
          <w:szCs w:val="20"/>
          <w:lang w:val="cs-CZ"/>
        </w:rPr>
        <w:t xml:space="preserve">ankety </w:t>
      </w:r>
      <w:r w:rsidRPr="000923B1">
        <w:rPr>
          <w:bCs/>
          <w:sz w:val="22"/>
          <w:szCs w:val="20"/>
          <w:lang w:val="cs-CZ"/>
        </w:rPr>
        <w:t>Zákon roku 201</w:t>
      </w:r>
      <w:r w:rsidR="0046267B" w:rsidRPr="000923B1">
        <w:rPr>
          <w:bCs/>
          <w:sz w:val="22"/>
          <w:szCs w:val="20"/>
          <w:lang w:val="cs-CZ"/>
        </w:rPr>
        <w:t xml:space="preserve">5 </w:t>
      </w:r>
      <w:r w:rsidRPr="000923B1">
        <w:rPr>
          <w:bCs/>
          <w:sz w:val="22"/>
          <w:szCs w:val="20"/>
          <w:lang w:val="cs-CZ"/>
        </w:rPr>
        <w:t>rozhodovali oslovení podnikatelé</w:t>
      </w:r>
      <w:r w:rsidR="00827DE1" w:rsidRPr="000923B1">
        <w:rPr>
          <w:bCs/>
          <w:sz w:val="22"/>
          <w:szCs w:val="20"/>
          <w:lang w:val="cs-CZ"/>
        </w:rPr>
        <w:t xml:space="preserve">, </w:t>
      </w:r>
      <w:r w:rsidR="00AE1D67" w:rsidRPr="000923B1">
        <w:rPr>
          <w:bCs/>
          <w:sz w:val="22"/>
          <w:szCs w:val="20"/>
          <w:lang w:val="cs-CZ"/>
        </w:rPr>
        <w:t>firmy</w:t>
      </w:r>
      <w:r w:rsidR="00827DE1" w:rsidRPr="000923B1">
        <w:rPr>
          <w:bCs/>
          <w:sz w:val="22"/>
          <w:szCs w:val="20"/>
          <w:lang w:val="cs-CZ"/>
        </w:rPr>
        <w:t xml:space="preserve"> a odborná veřejnost</w:t>
      </w:r>
      <w:r w:rsidR="00AE1D67" w:rsidRPr="000923B1">
        <w:rPr>
          <w:bCs/>
          <w:sz w:val="22"/>
          <w:szCs w:val="20"/>
          <w:lang w:val="cs-CZ"/>
        </w:rPr>
        <w:t xml:space="preserve"> </w:t>
      </w:r>
      <w:r w:rsidRPr="000923B1">
        <w:rPr>
          <w:bCs/>
          <w:sz w:val="22"/>
          <w:szCs w:val="20"/>
          <w:lang w:val="cs-CZ"/>
        </w:rPr>
        <w:t xml:space="preserve">v hlasování, </w:t>
      </w:r>
      <w:r w:rsidRPr="000923B1">
        <w:rPr>
          <w:b/>
          <w:bCs/>
          <w:sz w:val="22"/>
          <w:szCs w:val="20"/>
          <w:lang w:val="cs-CZ"/>
        </w:rPr>
        <w:t xml:space="preserve">které proběhlo </w:t>
      </w:r>
      <w:r w:rsidR="00604900" w:rsidRPr="000923B1">
        <w:rPr>
          <w:b/>
          <w:bCs/>
          <w:sz w:val="22"/>
          <w:szCs w:val="20"/>
          <w:lang w:val="cs-CZ"/>
        </w:rPr>
        <w:t xml:space="preserve">v období </w:t>
      </w:r>
      <w:r w:rsidRPr="000923B1">
        <w:rPr>
          <w:b/>
          <w:bCs/>
          <w:sz w:val="22"/>
          <w:szCs w:val="20"/>
          <w:lang w:val="cs-CZ"/>
        </w:rPr>
        <w:t xml:space="preserve">od </w:t>
      </w:r>
      <w:r w:rsidR="000C5CCC" w:rsidRPr="000923B1">
        <w:rPr>
          <w:b/>
          <w:bCs/>
          <w:sz w:val="22"/>
          <w:szCs w:val="20"/>
          <w:lang w:val="cs-CZ"/>
        </w:rPr>
        <w:t xml:space="preserve">15. </w:t>
      </w:r>
      <w:r w:rsidRPr="000923B1">
        <w:rPr>
          <w:b/>
          <w:bCs/>
          <w:sz w:val="22"/>
          <w:szCs w:val="20"/>
          <w:lang w:val="cs-CZ"/>
        </w:rPr>
        <w:t xml:space="preserve">března do </w:t>
      </w:r>
      <w:r w:rsidR="000C5CCC" w:rsidRPr="000923B1">
        <w:rPr>
          <w:b/>
          <w:bCs/>
          <w:sz w:val="22"/>
          <w:szCs w:val="20"/>
          <w:lang w:val="cs-CZ"/>
        </w:rPr>
        <w:t>20</w:t>
      </w:r>
      <w:r w:rsidRPr="000923B1">
        <w:rPr>
          <w:b/>
          <w:bCs/>
          <w:sz w:val="22"/>
          <w:szCs w:val="20"/>
          <w:lang w:val="cs-CZ"/>
        </w:rPr>
        <w:t xml:space="preserve">. </w:t>
      </w:r>
      <w:r w:rsidR="003A583F" w:rsidRPr="000923B1">
        <w:rPr>
          <w:b/>
          <w:bCs/>
          <w:sz w:val="22"/>
          <w:szCs w:val="20"/>
          <w:lang w:val="cs-CZ"/>
        </w:rPr>
        <w:t>k</w:t>
      </w:r>
      <w:r w:rsidRPr="000923B1">
        <w:rPr>
          <w:b/>
          <w:bCs/>
          <w:sz w:val="22"/>
          <w:szCs w:val="20"/>
          <w:lang w:val="cs-CZ"/>
        </w:rPr>
        <w:t>větna</w:t>
      </w:r>
      <w:r w:rsidR="003A583F" w:rsidRPr="000923B1">
        <w:rPr>
          <w:b/>
          <w:bCs/>
          <w:sz w:val="22"/>
          <w:szCs w:val="20"/>
          <w:lang w:val="cs-CZ"/>
        </w:rPr>
        <w:t xml:space="preserve"> 201</w:t>
      </w:r>
      <w:r w:rsidR="000C5CCC" w:rsidRPr="000923B1">
        <w:rPr>
          <w:b/>
          <w:bCs/>
          <w:sz w:val="22"/>
          <w:szCs w:val="20"/>
          <w:lang w:val="cs-CZ"/>
        </w:rPr>
        <w:t>6</w:t>
      </w:r>
      <w:r w:rsidR="00604900" w:rsidRPr="000923B1">
        <w:rPr>
          <w:bCs/>
          <w:sz w:val="22"/>
          <w:szCs w:val="20"/>
          <w:lang w:val="cs-CZ"/>
        </w:rPr>
        <w:t xml:space="preserve">, a to </w:t>
      </w:r>
      <w:r w:rsidR="00082332" w:rsidRPr="000923B1">
        <w:rPr>
          <w:bCs/>
          <w:sz w:val="22"/>
          <w:szCs w:val="20"/>
          <w:lang w:val="cs-CZ"/>
        </w:rPr>
        <w:lastRenderedPageBreak/>
        <w:t xml:space="preserve">prostřednictvím </w:t>
      </w:r>
      <w:r w:rsidRPr="000923B1">
        <w:rPr>
          <w:bCs/>
          <w:sz w:val="22"/>
          <w:szCs w:val="20"/>
          <w:lang w:val="cs-CZ"/>
        </w:rPr>
        <w:t>webových strán</w:t>
      </w:r>
      <w:r w:rsidR="00082332" w:rsidRPr="000923B1">
        <w:rPr>
          <w:bCs/>
          <w:sz w:val="22"/>
          <w:szCs w:val="20"/>
          <w:lang w:val="cs-CZ"/>
        </w:rPr>
        <w:t>e</w:t>
      </w:r>
      <w:r w:rsidRPr="000923B1">
        <w:rPr>
          <w:bCs/>
          <w:sz w:val="22"/>
          <w:szCs w:val="20"/>
          <w:lang w:val="cs-CZ"/>
        </w:rPr>
        <w:t xml:space="preserve">k </w:t>
      </w:r>
      <w:r w:rsidRPr="000923B1">
        <w:rPr>
          <w:b/>
          <w:bCs/>
          <w:sz w:val="22"/>
          <w:szCs w:val="20"/>
          <w:lang w:val="cs-CZ"/>
        </w:rPr>
        <w:t>www.zakonroku.cz</w:t>
      </w:r>
      <w:r w:rsidRPr="000923B1">
        <w:rPr>
          <w:bCs/>
          <w:sz w:val="22"/>
          <w:szCs w:val="20"/>
          <w:lang w:val="cs-CZ"/>
        </w:rPr>
        <w:t xml:space="preserve"> </w:t>
      </w:r>
      <w:r w:rsidR="00827DE1" w:rsidRPr="000923B1">
        <w:rPr>
          <w:bCs/>
          <w:sz w:val="22"/>
          <w:szCs w:val="20"/>
          <w:lang w:val="cs-CZ"/>
        </w:rPr>
        <w:t xml:space="preserve">a </w:t>
      </w:r>
      <w:r w:rsidR="00827DE1" w:rsidRPr="000923B1">
        <w:rPr>
          <w:b/>
          <w:bCs/>
          <w:sz w:val="22"/>
          <w:szCs w:val="20"/>
          <w:lang w:val="cs-CZ"/>
        </w:rPr>
        <w:t>hlasovací</w:t>
      </w:r>
      <w:r w:rsidR="0024717F" w:rsidRPr="000923B1">
        <w:rPr>
          <w:b/>
          <w:bCs/>
          <w:sz w:val="22"/>
          <w:szCs w:val="20"/>
          <w:lang w:val="cs-CZ"/>
        </w:rPr>
        <w:t xml:space="preserve">ch lístků </w:t>
      </w:r>
      <w:r w:rsidR="00604900" w:rsidRPr="000923B1">
        <w:rPr>
          <w:b/>
          <w:bCs/>
          <w:sz w:val="22"/>
          <w:szCs w:val="20"/>
          <w:lang w:val="cs-CZ"/>
        </w:rPr>
        <w:t>umístěn</w:t>
      </w:r>
      <w:r w:rsidR="0024717F" w:rsidRPr="000923B1">
        <w:rPr>
          <w:b/>
          <w:bCs/>
          <w:sz w:val="22"/>
          <w:szCs w:val="20"/>
          <w:lang w:val="cs-CZ"/>
        </w:rPr>
        <w:t>ých</w:t>
      </w:r>
      <w:r w:rsidR="00604900" w:rsidRPr="000923B1">
        <w:rPr>
          <w:b/>
          <w:bCs/>
          <w:sz w:val="22"/>
          <w:szCs w:val="20"/>
          <w:lang w:val="cs-CZ"/>
        </w:rPr>
        <w:t xml:space="preserve"> </w:t>
      </w:r>
      <w:r w:rsidR="00827DE1" w:rsidRPr="000923B1">
        <w:rPr>
          <w:b/>
          <w:bCs/>
          <w:sz w:val="22"/>
          <w:szCs w:val="20"/>
          <w:lang w:val="cs-CZ"/>
        </w:rPr>
        <w:t>v</w:t>
      </w:r>
      <w:r w:rsidR="00604900" w:rsidRPr="000923B1">
        <w:rPr>
          <w:b/>
          <w:bCs/>
          <w:sz w:val="22"/>
          <w:szCs w:val="20"/>
          <w:lang w:val="cs-CZ"/>
        </w:rPr>
        <w:t xml:space="preserve"> klientských </w:t>
      </w:r>
      <w:r w:rsidR="00827DE1" w:rsidRPr="000923B1">
        <w:rPr>
          <w:b/>
          <w:bCs/>
          <w:sz w:val="22"/>
          <w:szCs w:val="20"/>
          <w:lang w:val="cs-CZ"/>
        </w:rPr>
        <w:t>prostorách pražské kanceláře společnosti Deloitte</w:t>
      </w:r>
      <w:r w:rsidR="00827DE1" w:rsidRPr="000923B1">
        <w:rPr>
          <w:bCs/>
          <w:sz w:val="22"/>
          <w:szCs w:val="20"/>
          <w:lang w:val="cs-CZ"/>
        </w:rPr>
        <w:t xml:space="preserve">. </w:t>
      </w:r>
    </w:p>
    <w:p w14:paraId="3F8601B3" w14:textId="77777777" w:rsidR="003D36B5" w:rsidRPr="000923B1" w:rsidRDefault="003D36B5" w:rsidP="00CB1F1E">
      <w:pPr>
        <w:rPr>
          <w:bCs/>
          <w:sz w:val="22"/>
          <w:szCs w:val="20"/>
          <w:lang w:val="cs-CZ"/>
        </w:rPr>
      </w:pPr>
    </w:p>
    <w:p w14:paraId="12FC0A05" w14:textId="2BFA172A" w:rsidR="009561C1" w:rsidRPr="000923B1" w:rsidRDefault="00367A36" w:rsidP="00CB1F1E">
      <w:pPr>
        <w:rPr>
          <w:bCs/>
          <w:sz w:val="22"/>
          <w:szCs w:val="20"/>
          <w:lang w:val="cs-CZ"/>
        </w:rPr>
      </w:pPr>
      <w:r w:rsidRPr="000923B1">
        <w:rPr>
          <w:bCs/>
          <w:sz w:val="22"/>
          <w:szCs w:val="20"/>
          <w:lang w:val="cs-CZ"/>
        </w:rPr>
        <w:t>Jednotlivé n</w:t>
      </w:r>
      <w:r w:rsidR="00827DE1" w:rsidRPr="000923B1">
        <w:rPr>
          <w:bCs/>
          <w:sz w:val="22"/>
          <w:szCs w:val="20"/>
          <w:lang w:val="cs-CZ"/>
        </w:rPr>
        <w:t xml:space="preserve">ominace </w:t>
      </w:r>
      <w:r w:rsidR="00E80635" w:rsidRPr="000923B1">
        <w:rPr>
          <w:bCs/>
          <w:sz w:val="22"/>
          <w:szCs w:val="20"/>
          <w:lang w:val="cs-CZ"/>
        </w:rPr>
        <w:t xml:space="preserve">na Zákon roku 2015 </w:t>
      </w:r>
      <w:r w:rsidR="003A19B2" w:rsidRPr="000923B1">
        <w:rPr>
          <w:bCs/>
          <w:sz w:val="22"/>
          <w:szCs w:val="20"/>
          <w:lang w:val="cs-CZ"/>
        </w:rPr>
        <w:t xml:space="preserve">byly vybrány </w:t>
      </w:r>
      <w:r w:rsidR="003C05CF" w:rsidRPr="000923B1">
        <w:rPr>
          <w:bCs/>
          <w:sz w:val="22"/>
          <w:szCs w:val="20"/>
          <w:lang w:val="cs-CZ"/>
        </w:rPr>
        <w:t>na základě nominační rady složené z</w:t>
      </w:r>
      <w:r w:rsidR="003A583F" w:rsidRPr="000923B1">
        <w:rPr>
          <w:bCs/>
          <w:sz w:val="22"/>
          <w:szCs w:val="20"/>
          <w:lang w:val="cs-CZ"/>
        </w:rPr>
        <w:t xml:space="preserve"> vybraných </w:t>
      </w:r>
      <w:r w:rsidR="003C05CF" w:rsidRPr="000923B1">
        <w:rPr>
          <w:bCs/>
          <w:sz w:val="22"/>
          <w:szCs w:val="20"/>
          <w:lang w:val="cs-CZ"/>
        </w:rPr>
        <w:t>právníků napříč právnickými obory</w:t>
      </w:r>
      <w:r w:rsidR="00503607">
        <w:rPr>
          <w:bCs/>
          <w:sz w:val="22"/>
          <w:szCs w:val="20"/>
          <w:lang w:val="cs-CZ"/>
        </w:rPr>
        <w:t>,</w:t>
      </w:r>
      <w:r w:rsidR="003C05CF" w:rsidRPr="000923B1">
        <w:rPr>
          <w:bCs/>
          <w:sz w:val="22"/>
          <w:szCs w:val="20"/>
          <w:lang w:val="cs-CZ"/>
        </w:rPr>
        <w:t xml:space="preserve"> a dalších osobností</w:t>
      </w:r>
      <w:r w:rsidR="003A583F" w:rsidRPr="000923B1">
        <w:rPr>
          <w:bCs/>
          <w:sz w:val="22"/>
          <w:szCs w:val="20"/>
          <w:lang w:val="cs-CZ"/>
        </w:rPr>
        <w:t xml:space="preserve"> z podnikatelského sektoru</w:t>
      </w:r>
      <w:r w:rsidR="003C05CF" w:rsidRPr="000923B1">
        <w:rPr>
          <w:bCs/>
          <w:sz w:val="22"/>
          <w:szCs w:val="20"/>
          <w:lang w:val="cs-CZ"/>
        </w:rPr>
        <w:t>. Cílem ankety je přispět k disku</w:t>
      </w:r>
      <w:r w:rsidR="00503607">
        <w:rPr>
          <w:bCs/>
          <w:sz w:val="22"/>
          <w:szCs w:val="20"/>
          <w:lang w:val="cs-CZ"/>
        </w:rPr>
        <w:t>z</w:t>
      </w:r>
      <w:r w:rsidR="003C05CF" w:rsidRPr="000923B1">
        <w:rPr>
          <w:bCs/>
          <w:sz w:val="22"/>
          <w:szCs w:val="20"/>
          <w:lang w:val="cs-CZ"/>
        </w:rPr>
        <w:t>i mezi českými podnikateli, politiky a veřejností o kvalitě právních předpisů přijatých v uplynulém roce</w:t>
      </w:r>
      <w:r w:rsidR="006B559F">
        <w:rPr>
          <w:bCs/>
          <w:sz w:val="22"/>
          <w:szCs w:val="20"/>
          <w:lang w:val="cs-CZ"/>
        </w:rPr>
        <w:t>,</w:t>
      </w:r>
      <w:r w:rsidR="003C05CF" w:rsidRPr="000923B1">
        <w:rPr>
          <w:bCs/>
          <w:sz w:val="22"/>
          <w:szCs w:val="20"/>
          <w:lang w:val="cs-CZ"/>
        </w:rPr>
        <w:t xml:space="preserve"> a jejich dopadu na podnikatelské prostředí</w:t>
      </w:r>
      <w:r w:rsidR="00503607">
        <w:rPr>
          <w:bCs/>
          <w:sz w:val="22"/>
          <w:szCs w:val="20"/>
          <w:lang w:val="cs-CZ"/>
        </w:rPr>
        <w:t>.</w:t>
      </w:r>
      <w:r w:rsidR="003C05CF" w:rsidRPr="000923B1">
        <w:rPr>
          <w:bCs/>
          <w:sz w:val="22"/>
          <w:szCs w:val="20"/>
          <w:lang w:val="cs-CZ"/>
        </w:rPr>
        <w:t xml:space="preserve"> </w:t>
      </w:r>
      <w:r w:rsidR="00503607">
        <w:rPr>
          <w:bCs/>
          <w:sz w:val="22"/>
          <w:szCs w:val="20"/>
          <w:lang w:val="cs-CZ"/>
        </w:rPr>
        <w:t>A</w:t>
      </w:r>
      <w:r w:rsidR="003C05CF" w:rsidRPr="000923B1">
        <w:rPr>
          <w:bCs/>
          <w:sz w:val="22"/>
          <w:szCs w:val="20"/>
          <w:lang w:val="cs-CZ"/>
        </w:rPr>
        <w:t xml:space="preserve"> obecně</w:t>
      </w:r>
      <w:r w:rsidR="00503607">
        <w:rPr>
          <w:bCs/>
          <w:sz w:val="22"/>
          <w:szCs w:val="20"/>
          <w:lang w:val="cs-CZ"/>
        </w:rPr>
        <w:t xml:space="preserve"> rozpoutat debatu</w:t>
      </w:r>
      <w:r w:rsidR="003C05CF" w:rsidRPr="000923B1">
        <w:rPr>
          <w:bCs/>
          <w:sz w:val="22"/>
          <w:szCs w:val="20"/>
          <w:lang w:val="cs-CZ"/>
        </w:rPr>
        <w:t xml:space="preserve"> o úrovni právního prostředí v ČR.</w:t>
      </w:r>
    </w:p>
    <w:p w14:paraId="6A191B0F" w14:textId="77777777" w:rsidR="00E80635" w:rsidRPr="000923B1" w:rsidRDefault="00E80635" w:rsidP="00CB1F1E">
      <w:pPr>
        <w:rPr>
          <w:bCs/>
          <w:sz w:val="22"/>
          <w:szCs w:val="20"/>
          <w:lang w:val="cs-CZ"/>
        </w:rPr>
      </w:pPr>
    </w:p>
    <w:p w14:paraId="603005F5" w14:textId="77777777" w:rsidR="00E80635" w:rsidRPr="000923B1" w:rsidRDefault="00E80635" w:rsidP="00E80635">
      <w:pPr>
        <w:rPr>
          <w:sz w:val="22"/>
          <w:szCs w:val="20"/>
          <w:lang w:val="cs-CZ"/>
        </w:rPr>
      </w:pPr>
      <w:r w:rsidRPr="000923B1">
        <w:rPr>
          <w:sz w:val="22"/>
          <w:szCs w:val="20"/>
          <w:lang w:val="cs-CZ"/>
        </w:rPr>
        <w:t xml:space="preserve">Nominační rada při přípravě jednotlivých nominací brala v potaz tipy, které mohla </w:t>
      </w:r>
      <w:r w:rsidRPr="000923B1">
        <w:rPr>
          <w:b/>
          <w:sz w:val="22"/>
          <w:szCs w:val="20"/>
          <w:lang w:val="cs-CZ"/>
        </w:rPr>
        <w:t>od začátku ledna do konce února 2016</w:t>
      </w:r>
      <w:r w:rsidRPr="000923B1">
        <w:rPr>
          <w:sz w:val="22"/>
          <w:szCs w:val="20"/>
          <w:lang w:val="cs-CZ"/>
        </w:rPr>
        <w:t xml:space="preserve"> zasílat veřejnost prostřednictvím webových stránek </w:t>
      </w:r>
      <w:hyperlink r:id="rId9" w:history="1">
        <w:r w:rsidRPr="000923B1">
          <w:rPr>
            <w:rStyle w:val="Hypertextovodkaz"/>
            <w:sz w:val="22"/>
            <w:szCs w:val="20"/>
            <w:lang w:val="cs-CZ"/>
          </w:rPr>
          <w:t>www.zakonroku.cz</w:t>
        </w:r>
      </w:hyperlink>
      <w:r w:rsidRPr="000923B1">
        <w:rPr>
          <w:sz w:val="22"/>
          <w:szCs w:val="20"/>
          <w:lang w:val="cs-CZ"/>
        </w:rPr>
        <w:t xml:space="preserve">. Při stanovení pěti nominací na </w:t>
      </w:r>
      <w:r w:rsidRPr="000923B1">
        <w:rPr>
          <w:b/>
          <w:sz w:val="22"/>
          <w:szCs w:val="20"/>
          <w:lang w:val="cs-CZ"/>
        </w:rPr>
        <w:t>Zákon roku</w:t>
      </w:r>
      <w:r w:rsidRPr="000923B1">
        <w:rPr>
          <w:sz w:val="22"/>
          <w:szCs w:val="20"/>
          <w:lang w:val="cs-CZ"/>
        </w:rPr>
        <w:t xml:space="preserve"> </w:t>
      </w:r>
      <w:r w:rsidRPr="000923B1">
        <w:rPr>
          <w:b/>
          <w:sz w:val="22"/>
          <w:szCs w:val="20"/>
          <w:lang w:val="cs-CZ"/>
        </w:rPr>
        <w:t xml:space="preserve">2015 </w:t>
      </w:r>
      <w:r w:rsidRPr="000923B1">
        <w:rPr>
          <w:sz w:val="22"/>
          <w:szCs w:val="20"/>
          <w:lang w:val="cs-CZ"/>
        </w:rPr>
        <w:t xml:space="preserve">přihlížela zejména k očekávanému praktickému dopadu a zkušenosti českých podnikatelů s aplikací konkrétních právních norem. Počet členů nominační rady je 21, tvoří ji primárně právní odborníci napříč právnickými profesemi, zejména z řad advokátů a podnikových právníků, a další osobnosti, které sledují právní problematiku. Přehled členů nominační rady je dostupný </w:t>
      </w:r>
      <w:hyperlink r:id="rId10" w:history="1">
        <w:r w:rsidRPr="000923B1">
          <w:rPr>
            <w:rStyle w:val="Hypertextovodkaz"/>
            <w:sz w:val="22"/>
            <w:szCs w:val="20"/>
            <w:lang w:val="cs-CZ"/>
          </w:rPr>
          <w:t>zde</w:t>
        </w:r>
      </w:hyperlink>
      <w:r w:rsidRPr="000923B1">
        <w:rPr>
          <w:sz w:val="22"/>
          <w:szCs w:val="20"/>
          <w:lang w:val="cs-CZ"/>
        </w:rPr>
        <w:t>.</w:t>
      </w:r>
    </w:p>
    <w:p w14:paraId="2D617D58" w14:textId="77777777" w:rsidR="00E80635" w:rsidRPr="000923B1" w:rsidRDefault="00E80635" w:rsidP="00CB1F1E">
      <w:pPr>
        <w:rPr>
          <w:bCs/>
          <w:sz w:val="22"/>
          <w:szCs w:val="20"/>
          <w:lang w:val="cs-CZ"/>
        </w:rPr>
      </w:pPr>
    </w:p>
    <w:p w14:paraId="10125DAE" w14:textId="77777777" w:rsidR="001D10F5" w:rsidRPr="000923B1" w:rsidRDefault="001D10F5" w:rsidP="001D10F5">
      <w:pPr>
        <w:rPr>
          <w:b/>
          <w:color w:val="00A1DE" w:themeColor="accent3"/>
          <w:sz w:val="22"/>
          <w:szCs w:val="20"/>
          <w:lang w:val="cs-CZ"/>
        </w:rPr>
      </w:pPr>
      <w:r w:rsidRPr="000923B1">
        <w:rPr>
          <w:b/>
          <w:color w:val="00A1DE" w:themeColor="accent3"/>
          <w:sz w:val="22"/>
          <w:szCs w:val="20"/>
          <w:lang w:val="cs-CZ"/>
        </w:rPr>
        <w:t>Pravidla ankety Zákon roku 201</w:t>
      </w:r>
      <w:r w:rsidR="00320DC1" w:rsidRPr="000923B1">
        <w:rPr>
          <w:b/>
          <w:color w:val="00A1DE" w:themeColor="accent3"/>
          <w:sz w:val="22"/>
          <w:szCs w:val="20"/>
          <w:lang w:val="cs-CZ"/>
        </w:rPr>
        <w:t>5</w:t>
      </w:r>
    </w:p>
    <w:p w14:paraId="2BA0A558" w14:textId="77777777" w:rsidR="001D10F5" w:rsidRPr="000923B1" w:rsidRDefault="001D10F5" w:rsidP="001D10F5">
      <w:pPr>
        <w:rPr>
          <w:sz w:val="22"/>
          <w:szCs w:val="20"/>
          <w:lang w:val="cs-CZ"/>
        </w:rPr>
      </w:pPr>
    </w:p>
    <w:p w14:paraId="4CF3DF3C" w14:textId="77777777" w:rsidR="001D10F5" w:rsidRPr="000923B1" w:rsidRDefault="00E80635" w:rsidP="001D10F5">
      <w:pPr>
        <w:rPr>
          <w:sz w:val="22"/>
          <w:szCs w:val="20"/>
          <w:lang w:val="cs-CZ"/>
        </w:rPr>
      </w:pPr>
      <w:r w:rsidRPr="000923B1">
        <w:rPr>
          <w:sz w:val="22"/>
          <w:szCs w:val="20"/>
          <w:lang w:val="cs-CZ"/>
        </w:rPr>
        <w:t xml:space="preserve">V rámci ankety mohly být </w:t>
      </w:r>
      <w:r w:rsidR="001D10F5" w:rsidRPr="000923B1">
        <w:rPr>
          <w:sz w:val="22"/>
          <w:szCs w:val="20"/>
          <w:lang w:val="cs-CZ"/>
        </w:rPr>
        <w:t>nominovány obecně závazné právní předpisy České republiky či Evropské unie, jež nabyly platnosti v uplynulém roce: ústavní zákony, zákony, vyhlášky ministerstev, nařízení vlády, směrnice a nařízení EU. Nominace se mohou vztahovat i na nové mezinárodní smlouvy s dopadem na podnikatelské prostředí ČR.</w:t>
      </w:r>
      <w:r w:rsidRPr="000923B1">
        <w:rPr>
          <w:sz w:val="22"/>
          <w:szCs w:val="20"/>
          <w:lang w:val="cs-CZ"/>
        </w:rPr>
        <w:t xml:space="preserve"> </w:t>
      </w:r>
      <w:r w:rsidR="001D10F5" w:rsidRPr="000923B1">
        <w:rPr>
          <w:sz w:val="22"/>
          <w:szCs w:val="20"/>
          <w:lang w:val="cs-CZ"/>
        </w:rPr>
        <w:t>Jako autoři nominovaných právních předpisů jsou uváděni jejich iniciátoři nebo ti, kteří k přijetí předpisu jinak významně přispěli.</w:t>
      </w:r>
    </w:p>
    <w:p w14:paraId="42C7D877" w14:textId="77777777" w:rsidR="001D10F5" w:rsidRPr="000923B1" w:rsidRDefault="001D10F5" w:rsidP="001D10F5">
      <w:pPr>
        <w:rPr>
          <w:sz w:val="22"/>
          <w:szCs w:val="20"/>
          <w:lang w:val="cs-CZ"/>
        </w:rPr>
      </w:pPr>
    </w:p>
    <w:p w14:paraId="07C814A4" w14:textId="5ED5F5BB" w:rsidR="001D10F5" w:rsidRPr="000923B1" w:rsidRDefault="001D10F5" w:rsidP="001D10F5">
      <w:pPr>
        <w:rPr>
          <w:sz w:val="22"/>
          <w:szCs w:val="20"/>
          <w:lang w:val="cs-CZ"/>
        </w:rPr>
      </w:pPr>
      <w:r w:rsidRPr="000923B1">
        <w:rPr>
          <w:sz w:val="22"/>
          <w:szCs w:val="20"/>
          <w:lang w:val="cs-CZ"/>
        </w:rPr>
        <w:t>Více informací o anketě Zákon roku 201</w:t>
      </w:r>
      <w:r w:rsidR="00E80635" w:rsidRPr="000923B1">
        <w:rPr>
          <w:sz w:val="22"/>
          <w:szCs w:val="20"/>
          <w:lang w:val="cs-CZ"/>
        </w:rPr>
        <w:t>5</w:t>
      </w:r>
      <w:r w:rsidRPr="000923B1">
        <w:rPr>
          <w:sz w:val="22"/>
          <w:szCs w:val="20"/>
          <w:lang w:val="cs-CZ"/>
        </w:rPr>
        <w:t xml:space="preserve"> a pře</w:t>
      </w:r>
      <w:r w:rsidR="006B559F">
        <w:rPr>
          <w:sz w:val="22"/>
          <w:szCs w:val="20"/>
          <w:lang w:val="cs-CZ"/>
        </w:rPr>
        <w:t>d</w:t>
      </w:r>
      <w:r w:rsidRPr="000923B1">
        <w:rPr>
          <w:sz w:val="22"/>
          <w:szCs w:val="20"/>
          <w:lang w:val="cs-CZ"/>
        </w:rPr>
        <w:t xml:space="preserve">chozích výsledcích ankety naleznete na </w:t>
      </w:r>
      <w:hyperlink r:id="rId11" w:history="1">
        <w:r w:rsidRPr="000923B1">
          <w:rPr>
            <w:rStyle w:val="Hypertextovodkaz"/>
            <w:sz w:val="22"/>
            <w:szCs w:val="20"/>
            <w:lang w:val="cs-CZ"/>
          </w:rPr>
          <w:t>www.zakonroku.cz</w:t>
        </w:r>
      </w:hyperlink>
      <w:r w:rsidRPr="000923B1">
        <w:rPr>
          <w:sz w:val="22"/>
          <w:szCs w:val="20"/>
          <w:lang w:val="cs-CZ"/>
        </w:rPr>
        <w:t>.</w:t>
      </w:r>
    </w:p>
    <w:p w14:paraId="21CC8F07" w14:textId="77777777" w:rsidR="00320DC1" w:rsidRPr="000923B1" w:rsidRDefault="00320DC1" w:rsidP="001D10F5">
      <w:pPr>
        <w:rPr>
          <w:sz w:val="22"/>
          <w:szCs w:val="20"/>
          <w:lang w:val="cs-CZ"/>
        </w:rPr>
      </w:pPr>
    </w:p>
    <w:p w14:paraId="3F97C2E7" w14:textId="77777777" w:rsidR="00320DC1" w:rsidRPr="000923B1" w:rsidRDefault="00320DC1" w:rsidP="00320DC1">
      <w:pPr>
        <w:rPr>
          <w:b/>
          <w:sz w:val="22"/>
          <w:szCs w:val="20"/>
          <w:lang w:val="cs-CZ"/>
        </w:rPr>
      </w:pPr>
      <w:r w:rsidRPr="000923B1">
        <w:rPr>
          <w:b/>
          <w:color w:val="00A1DE" w:themeColor="accent3"/>
          <w:sz w:val="22"/>
          <w:szCs w:val="20"/>
          <w:lang w:val="cs-CZ"/>
        </w:rPr>
        <w:t>Přehled pěti nominací na Zákon roku 2015:</w:t>
      </w:r>
    </w:p>
    <w:p w14:paraId="3C1CFD12" w14:textId="77777777" w:rsidR="00320DC1" w:rsidRPr="000923B1" w:rsidRDefault="00320DC1" w:rsidP="00320DC1">
      <w:pPr>
        <w:rPr>
          <w:b/>
          <w:color w:val="00A1DE" w:themeColor="accent3"/>
          <w:sz w:val="22"/>
          <w:szCs w:val="20"/>
          <w:lang w:val="cs-CZ"/>
        </w:rPr>
      </w:pPr>
    </w:p>
    <w:tbl>
      <w:tblPr>
        <w:tblStyle w:val="Deloittetable2"/>
        <w:tblW w:w="0" w:type="auto"/>
        <w:tblLook w:val="04A0" w:firstRow="1" w:lastRow="0" w:firstColumn="1" w:lastColumn="0" w:noHBand="0" w:noVBand="1"/>
      </w:tblPr>
      <w:tblGrid>
        <w:gridCol w:w="1438"/>
        <w:gridCol w:w="7548"/>
      </w:tblGrid>
      <w:tr w:rsidR="00320DC1" w:rsidRPr="000923B1" w14:paraId="6C86D301" w14:textId="77777777" w:rsidTr="00320D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Borders>
              <w:top w:val="nil"/>
              <w:left w:val="nil"/>
              <w:bottom w:val="single" w:sz="4" w:space="0" w:color="00A1DE"/>
              <w:right w:val="nil"/>
            </w:tcBorders>
            <w:hideMark/>
          </w:tcPr>
          <w:p w14:paraId="3F257D9F" w14:textId="77777777" w:rsidR="00320DC1" w:rsidRPr="000923B1" w:rsidRDefault="00320DC1">
            <w:pPr>
              <w:rPr>
                <w:b w:val="0"/>
                <w:sz w:val="22"/>
                <w:lang w:val="cs-CZ"/>
              </w:rPr>
            </w:pPr>
            <w:r w:rsidRPr="000923B1">
              <w:rPr>
                <w:sz w:val="22"/>
                <w:lang w:val="cs-CZ"/>
              </w:rPr>
              <w:t>1. název</w:t>
            </w:r>
          </w:p>
        </w:tc>
        <w:tc>
          <w:tcPr>
            <w:tcW w:w="7548" w:type="dxa"/>
            <w:tcBorders>
              <w:top w:val="nil"/>
              <w:left w:val="nil"/>
              <w:bottom w:val="single" w:sz="4" w:space="0" w:color="00A1DE"/>
              <w:right w:val="nil"/>
            </w:tcBorders>
            <w:hideMark/>
          </w:tcPr>
          <w:p w14:paraId="1C510DB0" w14:textId="77777777" w:rsidR="00320DC1" w:rsidRPr="000923B1" w:rsidRDefault="00320DC1">
            <w:pPr>
              <w:cnfStyle w:val="100000000000" w:firstRow="1" w:lastRow="0" w:firstColumn="0" w:lastColumn="0" w:oddVBand="0" w:evenVBand="0" w:oddHBand="0" w:evenHBand="0" w:firstRowFirstColumn="0" w:firstRowLastColumn="0" w:lastRowFirstColumn="0" w:lastRowLastColumn="0"/>
              <w:rPr>
                <w:b w:val="0"/>
                <w:sz w:val="22"/>
                <w:lang w:val="cs-CZ"/>
              </w:rPr>
            </w:pPr>
            <w:r w:rsidRPr="000923B1">
              <w:rPr>
                <w:sz w:val="22"/>
                <w:lang w:val="cs-CZ"/>
              </w:rPr>
              <w:t>Transparentnost nakládání s veřejnými prostředky (Registr smluv)</w:t>
            </w:r>
          </w:p>
        </w:tc>
      </w:tr>
      <w:tr w:rsidR="00320DC1" w:rsidRPr="000923B1" w14:paraId="5A215B41" w14:textId="77777777" w:rsidTr="00320DC1">
        <w:tc>
          <w:tcPr>
            <w:cnfStyle w:val="001000000000" w:firstRow="0" w:lastRow="0" w:firstColumn="1" w:lastColumn="0" w:oddVBand="0" w:evenVBand="0" w:oddHBand="0" w:evenHBand="0" w:firstRowFirstColumn="0" w:firstRowLastColumn="0" w:lastRowFirstColumn="0" w:lastRowLastColumn="0"/>
            <w:tcW w:w="1438" w:type="dxa"/>
            <w:tcBorders>
              <w:top w:val="single" w:sz="4" w:space="0" w:color="00A1DE"/>
              <w:left w:val="nil"/>
              <w:bottom w:val="single" w:sz="4" w:space="0" w:color="00A1DE"/>
              <w:right w:val="nil"/>
            </w:tcBorders>
            <w:hideMark/>
          </w:tcPr>
          <w:p w14:paraId="0B59C4CD" w14:textId="77777777" w:rsidR="00320DC1" w:rsidRPr="000923B1" w:rsidRDefault="00320DC1">
            <w:pPr>
              <w:rPr>
                <w:b/>
                <w:sz w:val="22"/>
                <w:lang w:val="cs-CZ"/>
              </w:rPr>
            </w:pPr>
            <w:r w:rsidRPr="000923B1">
              <w:rPr>
                <w:b/>
                <w:sz w:val="22"/>
                <w:lang w:val="cs-CZ"/>
              </w:rPr>
              <w:t>Předpis</w:t>
            </w:r>
          </w:p>
        </w:tc>
        <w:tc>
          <w:tcPr>
            <w:tcW w:w="7548" w:type="dxa"/>
            <w:tcBorders>
              <w:top w:val="single" w:sz="4" w:space="0" w:color="00A1DE"/>
              <w:left w:val="nil"/>
              <w:bottom w:val="single" w:sz="4" w:space="0" w:color="00A1DE"/>
              <w:right w:val="nil"/>
            </w:tcBorders>
            <w:hideMark/>
          </w:tcPr>
          <w:p w14:paraId="0DDFB4A2" w14:textId="77777777" w:rsidR="00320DC1" w:rsidRPr="000923B1" w:rsidRDefault="00320DC1">
            <w:pPr>
              <w:cnfStyle w:val="000000000000" w:firstRow="0" w:lastRow="0" w:firstColumn="0" w:lastColumn="0" w:oddVBand="0" w:evenVBand="0" w:oddHBand="0" w:evenHBand="0" w:firstRowFirstColumn="0" w:firstRowLastColumn="0" w:lastRowFirstColumn="0" w:lastRowLastColumn="0"/>
              <w:rPr>
                <w:sz w:val="22"/>
                <w:lang w:val="cs-CZ"/>
              </w:rPr>
            </w:pPr>
            <w:r w:rsidRPr="000923B1">
              <w:rPr>
                <w:sz w:val="22"/>
                <w:lang w:val="cs-CZ"/>
              </w:rPr>
              <w:t>Zákon o registru smluv č. 340/2015 Sb.</w:t>
            </w:r>
          </w:p>
        </w:tc>
      </w:tr>
      <w:tr w:rsidR="00320DC1" w:rsidRPr="000923B1" w14:paraId="5288DAED" w14:textId="77777777" w:rsidTr="00320DC1">
        <w:tc>
          <w:tcPr>
            <w:cnfStyle w:val="001000000000" w:firstRow="0" w:lastRow="0" w:firstColumn="1" w:lastColumn="0" w:oddVBand="0" w:evenVBand="0" w:oddHBand="0" w:evenHBand="0" w:firstRowFirstColumn="0" w:firstRowLastColumn="0" w:lastRowFirstColumn="0" w:lastRowLastColumn="0"/>
            <w:tcW w:w="1438" w:type="dxa"/>
            <w:tcBorders>
              <w:top w:val="single" w:sz="4" w:space="0" w:color="00A1DE"/>
              <w:left w:val="nil"/>
              <w:bottom w:val="single" w:sz="4" w:space="0" w:color="00A1DE"/>
              <w:right w:val="nil"/>
            </w:tcBorders>
            <w:hideMark/>
          </w:tcPr>
          <w:p w14:paraId="4CB6B37D" w14:textId="77777777" w:rsidR="00320DC1" w:rsidRPr="000923B1" w:rsidRDefault="00320DC1">
            <w:pPr>
              <w:rPr>
                <w:sz w:val="22"/>
                <w:lang w:val="cs-CZ"/>
              </w:rPr>
            </w:pPr>
            <w:r w:rsidRPr="000923B1">
              <w:rPr>
                <w:b/>
                <w:sz w:val="22"/>
                <w:lang w:val="cs-CZ"/>
              </w:rPr>
              <w:t>Autor</w:t>
            </w:r>
          </w:p>
        </w:tc>
        <w:tc>
          <w:tcPr>
            <w:tcW w:w="7548" w:type="dxa"/>
            <w:tcBorders>
              <w:top w:val="single" w:sz="4" w:space="0" w:color="00A1DE"/>
              <w:left w:val="nil"/>
              <w:bottom w:val="single" w:sz="4" w:space="0" w:color="00A1DE"/>
              <w:right w:val="nil"/>
            </w:tcBorders>
            <w:hideMark/>
          </w:tcPr>
          <w:p w14:paraId="1810AB50" w14:textId="77777777" w:rsidR="00320DC1" w:rsidRPr="000923B1" w:rsidRDefault="00320DC1">
            <w:pPr>
              <w:cnfStyle w:val="000000000000" w:firstRow="0" w:lastRow="0" w:firstColumn="0" w:lastColumn="0" w:oddVBand="0" w:evenVBand="0" w:oddHBand="0" w:evenHBand="0" w:firstRowFirstColumn="0" w:firstRowLastColumn="0" w:lastRowFirstColumn="0" w:lastRowLastColumn="0"/>
              <w:rPr>
                <w:sz w:val="22"/>
                <w:lang w:val="cs-CZ"/>
              </w:rPr>
            </w:pPr>
            <w:r w:rsidRPr="000923B1">
              <w:rPr>
                <w:sz w:val="22"/>
                <w:lang w:val="cs-CZ"/>
              </w:rPr>
              <w:t>Jan Farský a další (skupina poslanců)</w:t>
            </w:r>
          </w:p>
        </w:tc>
      </w:tr>
      <w:tr w:rsidR="00320DC1" w:rsidRPr="000923B1" w14:paraId="510AB81D" w14:textId="77777777" w:rsidTr="00320DC1">
        <w:tc>
          <w:tcPr>
            <w:cnfStyle w:val="001000000000" w:firstRow="0" w:lastRow="0" w:firstColumn="1" w:lastColumn="0" w:oddVBand="0" w:evenVBand="0" w:oddHBand="0" w:evenHBand="0" w:firstRowFirstColumn="0" w:firstRowLastColumn="0" w:lastRowFirstColumn="0" w:lastRowLastColumn="0"/>
            <w:tcW w:w="1438" w:type="dxa"/>
            <w:tcBorders>
              <w:top w:val="single" w:sz="4" w:space="0" w:color="00A1DE"/>
              <w:left w:val="nil"/>
              <w:bottom w:val="single" w:sz="4" w:space="0" w:color="00A1DE"/>
              <w:right w:val="nil"/>
            </w:tcBorders>
            <w:hideMark/>
          </w:tcPr>
          <w:p w14:paraId="67439F25" w14:textId="77777777" w:rsidR="00320DC1" w:rsidRPr="000923B1" w:rsidRDefault="00320DC1">
            <w:pPr>
              <w:rPr>
                <w:sz w:val="22"/>
                <w:lang w:val="cs-CZ"/>
              </w:rPr>
            </w:pPr>
            <w:r w:rsidRPr="000923B1">
              <w:rPr>
                <w:b/>
                <w:sz w:val="22"/>
                <w:lang w:val="cs-CZ"/>
              </w:rPr>
              <w:t xml:space="preserve">Nominace </w:t>
            </w:r>
          </w:p>
        </w:tc>
        <w:tc>
          <w:tcPr>
            <w:tcW w:w="7548" w:type="dxa"/>
            <w:tcBorders>
              <w:top w:val="single" w:sz="4" w:space="0" w:color="00A1DE"/>
              <w:left w:val="nil"/>
              <w:bottom w:val="single" w:sz="4" w:space="0" w:color="00A1DE"/>
              <w:right w:val="nil"/>
            </w:tcBorders>
            <w:hideMark/>
          </w:tcPr>
          <w:p w14:paraId="283D419C" w14:textId="77777777" w:rsidR="00320DC1" w:rsidRPr="000923B1" w:rsidRDefault="00320DC1">
            <w:pPr>
              <w:cnfStyle w:val="000000000000" w:firstRow="0" w:lastRow="0" w:firstColumn="0" w:lastColumn="0" w:oddVBand="0" w:evenVBand="0" w:oddHBand="0" w:evenHBand="0" w:firstRowFirstColumn="0" w:firstRowLastColumn="0" w:lastRowFirstColumn="0" w:lastRowLastColumn="0"/>
              <w:rPr>
                <w:sz w:val="22"/>
                <w:lang w:val="cs-CZ"/>
              </w:rPr>
            </w:pPr>
            <w:r w:rsidRPr="000923B1">
              <w:rPr>
                <w:sz w:val="22"/>
                <w:lang w:val="cs-CZ"/>
              </w:rPr>
              <w:t xml:space="preserve">Jen deset nových paragrafů zásadně zvyšuje transparentnost nakládání s veřejnými prostředky. Smlouvy na plnění nad 50 000 Kč uzavřené veřejnými subjekty budou zveřejňovány na internetu ve formátu umožňujícím vyhledávání dat, pod jednoduchou a účinnou sankcí neplatnosti smlouvy. Otevírá se prostor všem, kdo mají k nakládání s veřejnými prostředky co říct (firmám, neziskovým organizacím apod.). </w:t>
            </w:r>
          </w:p>
        </w:tc>
      </w:tr>
    </w:tbl>
    <w:p w14:paraId="23462474" w14:textId="77777777" w:rsidR="00320DC1" w:rsidRPr="000923B1" w:rsidRDefault="00320DC1" w:rsidP="00320DC1">
      <w:pPr>
        <w:rPr>
          <w:sz w:val="22"/>
          <w:szCs w:val="20"/>
          <w:lang w:val="cs-CZ"/>
        </w:rPr>
      </w:pPr>
    </w:p>
    <w:tbl>
      <w:tblPr>
        <w:tblStyle w:val="Deloittetable2"/>
        <w:tblW w:w="0" w:type="auto"/>
        <w:tblLook w:val="04A0" w:firstRow="1" w:lastRow="0" w:firstColumn="1" w:lastColumn="0" w:noHBand="0" w:noVBand="1"/>
      </w:tblPr>
      <w:tblGrid>
        <w:gridCol w:w="1276"/>
        <w:gridCol w:w="7682"/>
      </w:tblGrid>
      <w:tr w:rsidR="00320DC1" w:rsidRPr="000923B1" w14:paraId="4783760A" w14:textId="77777777" w:rsidTr="00320D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left w:val="nil"/>
              <w:bottom w:val="single" w:sz="4" w:space="0" w:color="00A1DE"/>
              <w:right w:val="nil"/>
            </w:tcBorders>
            <w:hideMark/>
          </w:tcPr>
          <w:p w14:paraId="54F1298A" w14:textId="77777777" w:rsidR="00320DC1" w:rsidRPr="000923B1" w:rsidRDefault="00320DC1">
            <w:pPr>
              <w:spacing w:line="250" w:lineRule="atLeast"/>
              <w:rPr>
                <w:b w:val="0"/>
                <w:sz w:val="22"/>
                <w:lang w:val="cs-CZ"/>
              </w:rPr>
            </w:pPr>
            <w:r w:rsidRPr="000923B1">
              <w:rPr>
                <w:sz w:val="22"/>
                <w:lang w:val="cs-CZ"/>
              </w:rPr>
              <w:t>2. název</w:t>
            </w:r>
          </w:p>
        </w:tc>
        <w:tc>
          <w:tcPr>
            <w:tcW w:w="7682" w:type="dxa"/>
            <w:tcBorders>
              <w:top w:val="nil"/>
              <w:left w:val="nil"/>
              <w:bottom w:val="single" w:sz="4" w:space="0" w:color="00A1DE"/>
              <w:right w:val="nil"/>
            </w:tcBorders>
            <w:hideMark/>
          </w:tcPr>
          <w:p w14:paraId="42D38433" w14:textId="77777777" w:rsidR="00320DC1" w:rsidRPr="000923B1" w:rsidRDefault="00320DC1">
            <w:pPr>
              <w:cnfStyle w:val="100000000000" w:firstRow="1" w:lastRow="0" w:firstColumn="0" w:lastColumn="0" w:oddVBand="0" w:evenVBand="0" w:oddHBand="0" w:evenHBand="0" w:firstRowFirstColumn="0" w:firstRowLastColumn="0" w:lastRowFirstColumn="0" w:lastRowLastColumn="0"/>
              <w:rPr>
                <w:b w:val="0"/>
                <w:sz w:val="22"/>
                <w:lang w:val="cs-CZ"/>
              </w:rPr>
            </w:pPr>
            <w:r w:rsidRPr="000923B1">
              <w:rPr>
                <w:sz w:val="22"/>
                <w:lang w:val="cs-CZ"/>
              </w:rPr>
              <w:t>Zelená malým a středním podnikům (diferenciace povinností novelou zákona o účetnictví)</w:t>
            </w:r>
          </w:p>
        </w:tc>
      </w:tr>
      <w:tr w:rsidR="00320DC1" w:rsidRPr="000923B1" w14:paraId="3A2D415F" w14:textId="77777777" w:rsidTr="00320DC1">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00A1DE"/>
              <w:left w:val="nil"/>
              <w:bottom w:val="single" w:sz="4" w:space="0" w:color="00A1DE"/>
              <w:right w:val="nil"/>
            </w:tcBorders>
            <w:hideMark/>
          </w:tcPr>
          <w:p w14:paraId="19542B7C" w14:textId="77777777" w:rsidR="00320DC1" w:rsidRPr="000923B1" w:rsidRDefault="00320DC1">
            <w:pPr>
              <w:rPr>
                <w:b/>
                <w:sz w:val="22"/>
                <w:lang w:val="cs-CZ"/>
              </w:rPr>
            </w:pPr>
            <w:r w:rsidRPr="000923B1">
              <w:rPr>
                <w:b/>
                <w:sz w:val="22"/>
                <w:lang w:val="cs-CZ"/>
              </w:rPr>
              <w:t>Předpis</w:t>
            </w:r>
          </w:p>
        </w:tc>
        <w:tc>
          <w:tcPr>
            <w:tcW w:w="7682" w:type="dxa"/>
            <w:tcBorders>
              <w:top w:val="single" w:sz="4" w:space="0" w:color="00A1DE"/>
              <w:left w:val="nil"/>
              <w:bottom w:val="single" w:sz="4" w:space="0" w:color="00A1DE"/>
              <w:right w:val="nil"/>
            </w:tcBorders>
            <w:hideMark/>
          </w:tcPr>
          <w:p w14:paraId="4D150352" w14:textId="77777777" w:rsidR="00320DC1" w:rsidRPr="000923B1" w:rsidRDefault="00320DC1">
            <w:pPr>
              <w:cnfStyle w:val="000000000000" w:firstRow="0" w:lastRow="0" w:firstColumn="0" w:lastColumn="0" w:oddVBand="0" w:evenVBand="0" w:oddHBand="0" w:evenHBand="0" w:firstRowFirstColumn="0" w:firstRowLastColumn="0" w:lastRowFirstColumn="0" w:lastRowLastColumn="0"/>
              <w:rPr>
                <w:sz w:val="22"/>
                <w:lang w:val="cs-CZ"/>
              </w:rPr>
            </w:pPr>
            <w:r w:rsidRPr="000923B1">
              <w:rPr>
                <w:sz w:val="22"/>
                <w:lang w:val="cs-CZ"/>
              </w:rPr>
              <w:t>Zákon č. 221/2015 Sb. (novela zákona o účetnictví)</w:t>
            </w:r>
          </w:p>
        </w:tc>
      </w:tr>
      <w:tr w:rsidR="00320DC1" w:rsidRPr="000923B1" w14:paraId="56645B11" w14:textId="77777777" w:rsidTr="00320DC1">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00A1DE"/>
              <w:left w:val="nil"/>
              <w:bottom w:val="single" w:sz="4" w:space="0" w:color="00A1DE"/>
              <w:right w:val="nil"/>
            </w:tcBorders>
            <w:hideMark/>
          </w:tcPr>
          <w:p w14:paraId="7531B885" w14:textId="77777777" w:rsidR="00320DC1" w:rsidRPr="000923B1" w:rsidRDefault="00320DC1">
            <w:pPr>
              <w:rPr>
                <w:sz w:val="22"/>
                <w:lang w:val="cs-CZ"/>
              </w:rPr>
            </w:pPr>
            <w:r w:rsidRPr="000923B1">
              <w:rPr>
                <w:b/>
                <w:sz w:val="22"/>
                <w:lang w:val="cs-CZ"/>
              </w:rPr>
              <w:t>Autor</w:t>
            </w:r>
          </w:p>
        </w:tc>
        <w:tc>
          <w:tcPr>
            <w:tcW w:w="7682" w:type="dxa"/>
            <w:tcBorders>
              <w:top w:val="single" w:sz="4" w:space="0" w:color="00A1DE"/>
              <w:left w:val="nil"/>
              <w:bottom w:val="single" w:sz="4" w:space="0" w:color="00A1DE"/>
              <w:right w:val="nil"/>
            </w:tcBorders>
            <w:hideMark/>
          </w:tcPr>
          <w:p w14:paraId="0F80AC72" w14:textId="77777777" w:rsidR="00320DC1" w:rsidRPr="000923B1" w:rsidRDefault="00320DC1">
            <w:pPr>
              <w:cnfStyle w:val="000000000000" w:firstRow="0" w:lastRow="0" w:firstColumn="0" w:lastColumn="0" w:oddVBand="0" w:evenVBand="0" w:oddHBand="0" w:evenHBand="0" w:firstRowFirstColumn="0" w:firstRowLastColumn="0" w:lastRowFirstColumn="0" w:lastRowLastColumn="0"/>
              <w:rPr>
                <w:sz w:val="22"/>
                <w:lang w:val="cs-CZ"/>
              </w:rPr>
            </w:pPr>
            <w:r w:rsidRPr="000923B1">
              <w:rPr>
                <w:sz w:val="22"/>
                <w:lang w:val="cs-CZ"/>
              </w:rPr>
              <w:t>Evropská komise, Ministerstvo financí</w:t>
            </w:r>
          </w:p>
        </w:tc>
      </w:tr>
      <w:tr w:rsidR="00320DC1" w:rsidRPr="000923B1" w14:paraId="241D7013" w14:textId="77777777" w:rsidTr="00320DC1">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00A1DE"/>
              <w:left w:val="nil"/>
              <w:bottom w:val="single" w:sz="4" w:space="0" w:color="00A1DE"/>
              <w:right w:val="nil"/>
            </w:tcBorders>
            <w:hideMark/>
          </w:tcPr>
          <w:p w14:paraId="63068A38" w14:textId="77777777" w:rsidR="00320DC1" w:rsidRPr="000923B1" w:rsidRDefault="00320DC1">
            <w:pPr>
              <w:rPr>
                <w:sz w:val="22"/>
                <w:lang w:val="cs-CZ"/>
              </w:rPr>
            </w:pPr>
            <w:r w:rsidRPr="000923B1">
              <w:rPr>
                <w:b/>
                <w:sz w:val="22"/>
                <w:lang w:val="cs-CZ"/>
              </w:rPr>
              <w:t xml:space="preserve">Nominace </w:t>
            </w:r>
          </w:p>
        </w:tc>
        <w:tc>
          <w:tcPr>
            <w:tcW w:w="7682" w:type="dxa"/>
            <w:tcBorders>
              <w:top w:val="single" w:sz="4" w:space="0" w:color="00A1DE"/>
              <w:left w:val="nil"/>
              <w:bottom w:val="single" w:sz="4" w:space="0" w:color="00A1DE"/>
              <w:right w:val="nil"/>
            </w:tcBorders>
            <w:hideMark/>
          </w:tcPr>
          <w:p w14:paraId="0CF16787" w14:textId="77777777" w:rsidR="00320DC1" w:rsidRPr="000923B1" w:rsidRDefault="00320DC1">
            <w:pPr>
              <w:pStyle w:val="Prosttext"/>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Cs w:val="22"/>
              </w:rPr>
            </w:pPr>
            <w:r w:rsidRPr="000923B1">
              <w:rPr>
                <w:rFonts w:ascii="Arial" w:eastAsia="Arial" w:hAnsi="Arial" w:cs="Times New Roman"/>
                <w:szCs w:val="22"/>
              </w:rPr>
              <w:t>Pro malé společnosti se snižuje administrativní zátěž při vykazování a zveřejňování účetní závěrky, pro některé se znovuzavádí možnost vést jednoduché účetnictví, snižuje se počet tzv. subjektů veřejného zájmu, na které je kladen nejvyšší dohled. Byly také zpřesněny některé problematické účetní termíny (rezervy, následné události, významnost). Příklad diferenciace veřejné regulace pro malé firmy.</w:t>
            </w:r>
          </w:p>
        </w:tc>
      </w:tr>
    </w:tbl>
    <w:p w14:paraId="18614E10" w14:textId="77777777" w:rsidR="00320DC1" w:rsidRPr="000923B1" w:rsidRDefault="00320DC1" w:rsidP="00320DC1">
      <w:pPr>
        <w:rPr>
          <w:sz w:val="22"/>
          <w:szCs w:val="20"/>
          <w:lang w:val="cs-CZ"/>
        </w:rPr>
      </w:pPr>
    </w:p>
    <w:tbl>
      <w:tblPr>
        <w:tblStyle w:val="Deloittetable2"/>
        <w:tblW w:w="0" w:type="auto"/>
        <w:tblLook w:val="04A0" w:firstRow="1" w:lastRow="0" w:firstColumn="1" w:lastColumn="0" w:noHBand="0" w:noVBand="1"/>
      </w:tblPr>
      <w:tblGrid>
        <w:gridCol w:w="1276"/>
        <w:gridCol w:w="7682"/>
      </w:tblGrid>
      <w:tr w:rsidR="00320DC1" w:rsidRPr="000923B1" w14:paraId="218C215A" w14:textId="77777777" w:rsidTr="00320D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left w:val="nil"/>
              <w:bottom w:val="single" w:sz="4" w:space="0" w:color="00A1DE"/>
              <w:right w:val="nil"/>
            </w:tcBorders>
            <w:hideMark/>
          </w:tcPr>
          <w:p w14:paraId="67FC8863" w14:textId="77777777" w:rsidR="00320DC1" w:rsidRPr="000923B1" w:rsidRDefault="00320DC1">
            <w:pPr>
              <w:rPr>
                <w:b w:val="0"/>
                <w:sz w:val="22"/>
                <w:lang w:val="cs-CZ"/>
              </w:rPr>
            </w:pPr>
            <w:r w:rsidRPr="000923B1">
              <w:rPr>
                <w:sz w:val="22"/>
                <w:lang w:val="cs-CZ"/>
              </w:rPr>
              <w:t>3. název</w:t>
            </w:r>
          </w:p>
        </w:tc>
        <w:tc>
          <w:tcPr>
            <w:tcW w:w="7682" w:type="dxa"/>
            <w:tcBorders>
              <w:top w:val="nil"/>
              <w:left w:val="nil"/>
              <w:bottom w:val="single" w:sz="4" w:space="0" w:color="00A1DE"/>
              <w:right w:val="nil"/>
            </w:tcBorders>
            <w:hideMark/>
          </w:tcPr>
          <w:p w14:paraId="5E09303B" w14:textId="77777777" w:rsidR="00320DC1" w:rsidRPr="000923B1" w:rsidRDefault="00320DC1">
            <w:pPr>
              <w:cnfStyle w:val="100000000000" w:firstRow="1" w:lastRow="0" w:firstColumn="0" w:lastColumn="0" w:oddVBand="0" w:evenVBand="0" w:oddHBand="0" w:evenHBand="0" w:firstRowFirstColumn="0" w:firstRowLastColumn="0" w:lastRowFirstColumn="0" w:lastRowLastColumn="0"/>
              <w:rPr>
                <w:b w:val="0"/>
                <w:sz w:val="22"/>
                <w:lang w:val="cs-CZ"/>
              </w:rPr>
            </w:pPr>
            <w:r w:rsidRPr="000923B1">
              <w:rPr>
                <w:sz w:val="22"/>
                <w:lang w:val="cs-CZ"/>
              </w:rPr>
              <w:t xml:space="preserve">Veřejné zakázky odpovědně, ale také realisticky (drobná zlepšení zákona </w:t>
            </w:r>
            <w:r w:rsidRPr="000923B1">
              <w:rPr>
                <w:sz w:val="22"/>
                <w:lang w:val="cs-CZ"/>
              </w:rPr>
              <w:lastRenderedPageBreak/>
              <w:t>o veřejných zakázkách)</w:t>
            </w:r>
          </w:p>
        </w:tc>
      </w:tr>
      <w:tr w:rsidR="00320DC1" w:rsidRPr="000923B1" w14:paraId="2FE6E22C" w14:textId="77777777" w:rsidTr="00320DC1">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00A1DE"/>
              <w:left w:val="nil"/>
              <w:bottom w:val="single" w:sz="4" w:space="0" w:color="00A1DE"/>
              <w:right w:val="nil"/>
            </w:tcBorders>
            <w:hideMark/>
          </w:tcPr>
          <w:p w14:paraId="17E82BFA" w14:textId="77777777" w:rsidR="00320DC1" w:rsidRPr="000923B1" w:rsidRDefault="00320DC1">
            <w:pPr>
              <w:rPr>
                <w:b/>
                <w:sz w:val="22"/>
                <w:lang w:val="cs-CZ"/>
              </w:rPr>
            </w:pPr>
            <w:r w:rsidRPr="000923B1">
              <w:rPr>
                <w:b/>
                <w:sz w:val="22"/>
                <w:lang w:val="cs-CZ"/>
              </w:rPr>
              <w:lastRenderedPageBreak/>
              <w:t>Předpis</w:t>
            </w:r>
          </w:p>
        </w:tc>
        <w:tc>
          <w:tcPr>
            <w:tcW w:w="7682" w:type="dxa"/>
            <w:tcBorders>
              <w:top w:val="single" w:sz="4" w:space="0" w:color="00A1DE"/>
              <w:left w:val="nil"/>
              <w:bottom w:val="single" w:sz="4" w:space="0" w:color="00A1DE"/>
              <w:right w:val="nil"/>
            </w:tcBorders>
            <w:hideMark/>
          </w:tcPr>
          <w:p w14:paraId="40EBC4BA" w14:textId="77777777" w:rsidR="00320DC1" w:rsidRPr="000923B1" w:rsidRDefault="00320DC1">
            <w:pPr>
              <w:cnfStyle w:val="000000000000" w:firstRow="0" w:lastRow="0" w:firstColumn="0" w:lastColumn="0" w:oddVBand="0" w:evenVBand="0" w:oddHBand="0" w:evenHBand="0" w:firstRowFirstColumn="0" w:firstRowLastColumn="0" w:lastRowFirstColumn="0" w:lastRowLastColumn="0"/>
              <w:rPr>
                <w:sz w:val="22"/>
                <w:lang w:val="cs-CZ"/>
              </w:rPr>
            </w:pPr>
            <w:r w:rsidRPr="000923B1">
              <w:rPr>
                <w:sz w:val="22"/>
                <w:lang w:val="cs-CZ"/>
              </w:rPr>
              <w:t>Zákon č. 40/2015 Sb. (novela zákona o veřejných zakázkách)</w:t>
            </w:r>
          </w:p>
        </w:tc>
      </w:tr>
      <w:tr w:rsidR="00320DC1" w:rsidRPr="000923B1" w14:paraId="59FDE83C" w14:textId="77777777" w:rsidTr="00320DC1">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00A1DE"/>
              <w:left w:val="nil"/>
              <w:bottom w:val="single" w:sz="4" w:space="0" w:color="00A1DE"/>
              <w:right w:val="nil"/>
            </w:tcBorders>
            <w:hideMark/>
          </w:tcPr>
          <w:p w14:paraId="477F7A37" w14:textId="77777777" w:rsidR="00320DC1" w:rsidRPr="000923B1" w:rsidRDefault="00320DC1">
            <w:pPr>
              <w:rPr>
                <w:sz w:val="22"/>
                <w:lang w:val="cs-CZ"/>
              </w:rPr>
            </w:pPr>
            <w:r w:rsidRPr="000923B1">
              <w:rPr>
                <w:b/>
                <w:sz w:val="22"/>
                <w:lang w:val="cs-CZ"/>
              </w:rPr>
              <w:t>Autor</w:t>
            </w:r>
          </w:p>
        </w:tc>
        <w:tc>
          <w:tcPr>
            <w:tcW w:w="7682" w:type="dxa"/>
            <w:tcBorders>
              <w:top w:val="single" w:sz="4" w:space="0" w:color="00A1DE"/>
              <w:left w:val="nil"/>
              <w:bottom w:val="single" w:sz="4" w:space="0" w:color="00A1DE"/>
              <w:right w:val="nil"/>
            </w:tcBorders>
            <w:hideMark/>
          </w:tcPr>
          <w:p w14:paraId="00806DB8" w14:textId="77777777" w:rsidR="00320DC1" w:rsidRPr="000923B1" w:rsidRDefault="00320DC1">
            <w:pPr>
              <w:cnfStyle w:val="000000000000" w:firstRow="0" w:lastRow="0" w:firstColumn="0" w:lastColumn="0" w:oddVBand="0" w:evenVBand="0" w:oddHBand="0" w:evenHBand="0" w:firstRowFirstColumn="0" w:firstRowLastColumn="0" w:lastRowFirstColumn="0" w:lastRowLastColumn="0"/>
              <w:rPr>
                <w:sz w:val="22"/>
                <w:lang w:val="cs-CZ"/>
              </w:rPr>
            </w:pPr>
            <w:r w:rsidRPr="000923B1">
              <w:rPr>
                <w:sz w:val="22"/>
                <w:lang w:val="cs-CZ"/>
              </w:rPr>
              <w:t>Ministerstvo pro místní rozvoj, Evropská komise</w:t>
            </w:r>
          </w:p>
        </w:tc>
      </w:tr>
      <w:tr w:rsidR="00320DC1" w:rsidRPr="000923B1" w14:paraId="6161BC9E" w14:textId="77777777" w:rsidTr="00320DC1">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00A1DE"/>
              <w:left w:val="nil"/>
              <w:bottom w:val="single" w:sz="4" w:space="0" w:color="00A1DE"/>
              <w:right w:val="nil"/>
            </w:tcBorders>
            <w:hideMark/>
          </w:tcPr>
          <w:p w14:paraId="7CC32F12" w14:textId="77777777" w:rsidR="00320DC1" w:rsidRPr="000923B1" w:rsidRDefault="00320DC1">
            <w:pPr>
              <w:rPr>
                <w:sz w:val="22"/>
                <w:lang w:val="cs-CZ"/>
              </w:rPr>
            </w:pPr>
            <w:r w:rsidRPr="000923B1">
              <w:rPr>
                <w:b/>
                <w:sz w:val="22"/>
                <w:lang w:val="cs-CZ"/>
              </w:rPr>
              <w:t xml:space="preserve">Nominace </w:t>
            </w:r>
          </w:p>
        </w:tc>
        <w:tc>
          <w:tcPr>
            <w:tcW w:w="7682" w:type="dxa"/>
            <w:tcBorders>
              <w:top w:val="single" w:sz="4" w:space="0" w:color="00A1DE"/>
              <w:left w:val="nil"/>
              <w:bottom w:val="single" w:sz="4" w:space="0" w:color="00A1DE"/>
              <w:right w:val="nil"/>
            </w:tcBorders>
            <w:hideMark/>
          </w:tcPr>
          <w:p w14:paraId="66F1B2B5" w14:textId="5140ED0F" w:rsidR="00320DC1" w:rsidRPr="000923B1" w:rsidRDefault="00320DC1">
            <w:pPr>
              <w:pStyle w:val="Prosttext"/>
              <w:cnfStyle w:val="000000000000" w:firstRow="0" w:lastRow="0" w:firstColumn="0" w:lastColumn="0" w:oddVBand="0" w:evenVBand="0" w:oddHBand="0" w:evenHBand="0" w:firstRowFirstColumn="0" w:firstRowLastColumn="0" w:lastRowFirstColumn="0" w:lastRowLastColumn="0"/>
              <w:rPr>
                <w:szCs w:val="22"/>
              </w:rPr>
            </w:pPr>
            <w:r w:rsidRPr="000923B1">
              <w:rPr>
                <w:rFonts w:ascii="Arial" w:eastAsia="Arial" w:hAnsi="Arial" w:cs="Times New Roman"/>
                <w:szCs w:val="22"/>
              </w:rPr>
              <w:t>Bylo odstraněno povinné rušení zakázek s jedinou obdrženou nabídkou, zvýšen limit pro zadávání dodatečných prací z 20 na 30</w:t>
            </w:r>
            <w:r w:rsidR="006B559F">
              <w:rPr>
                <w:rFonts w:ascii="Arial" w:eastAsia="Arial" w:hAnsi="Arial" w:cs="Times New Roman"/>
                <w:szCs w:val="22"/>
              </w:rPr>
              <w:t xml:space="preserve"> </w:t>
            </w:r>
            <w:r w:rsidRPr="000923B1">
              <w:rPr>
                <w:rFonts w:ascii="Arial" w:eastAsia="Arial" w:hAnsi="Arial" w:cs="Times New Roman"/>
                <w:szCs w:val="22"/>
              </w:rPr>
              <w:t>% a přeformulovány podmínky pro zadávání takových prací. Rozšiřuje se také možnost hodnocení nabídek např. o předchozí zkušenosti relevantní pro novou zakázku. Jde o několik drobných zlepšení reagujících na reálné potřeby a o dobrý vklad do širší debaty o celkové nové koncepci zadávání veřejných zakázek.</w:t>
            </w:r>
          </w:p>
        </w:tc>
      </w:tr>
    </w:tbl>
    <w:p w14:paraId="7D8DE4B1" w14:textId="77777777" w:rsidR="00320DC1" w:rsidRPr="000923B1" w:rsidRDefault="00320DC1" w:rsidP="00320DC1">
      <w:pPr>
        <w:rPr>
          <w:b/>
          <w:sz w:val="22"/>
          <w:szCs w:val="20"/>
          <w:lang w:val="cs-CZ"/>
        </w:rPr>
      </w:pPr>
    </w:p>
    <w:tbl>
      <w:tblPr>
        <w:tblStyle w:val="Deloittetable2"/>
        <w:tblW w:w="0" w:type="auto"/>
        <w:tblLook w:val="04A0" w:firstRow="1" w:lastRow="0" w:firstColumn="1" w:lastColumn="0" w:noHBand="0" w:noVBand="1"/>
      </w:tblPr>
      <w:tblGrid>
        <w:gridCol w:w="1276"/>
        <w:gridCol w:w="7682"/>
      </w:tblGrid>
      <w:tr w:rsidR="00320DC1" w:rsidRPr="000923B1" w14:paraId="0EB8E2E9" w14:textId="77777777" w:rsidTr="00320DC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6" w:type="dxa"/>
            <w:tcBorders>
              <w:top w:val="nil"/>
              <w:left w:val="nil"/>
              <w:bottom w:val="single" w:sz="4" w:space="0" w:color="00A1DE"/>
              <w:right w:val="nil"/>
            </w:tcBorders>
            <w:hideMark/>
          </w:tcPr>
          <w:p w14:paraId="478B5EB3" w14:textId="77777777" w:rsidR="00320DC1" w:rsidRPr="000923B1" w:rsidRDefault="00320DC1">
            <w:pPr>
              <w:rPr>
                <w:b w:val="0"/>
                <w:sz w:val="22"/>
                <w:lang w:val="cs-CZ"/>
              </w:rPr>
            </w:pPr>
            <w:r w:rsidRPr="000923B1">
              <w:rPr>
                <w:sz w:val="22"/>
                <w:lang w:val="cs-CZ"/>
              </w:rPr>
              <w:t>4. název</w:t>
            </w:r>
          </w:p>
        </w:tc>
        <w:tc>
          <w:tcPr>
            <w:tcW w:w="7682" w:type="dxa"/>
            <w:tcBorders>
              <w:top w:val="nil"/>
              <w:left w:val="nil"/>
              <w:bottom w:val="single" w:sz="4" w:space="0" w:color="00A1DE"/>
              <w:right w:val="nil"/>
            </w:tcBorders>
            <w:hideMark/>
          </w:tcPr>
          <w:p w14:paraId="48BCD15E" w14:textId="77777777" w:rsidR="00320DC1" w:rsidRPr="000923B1" w:rsidRDefault="00320DC1">
            <w:pPr>
              <w:cnfStyle w:val="100000000000" w:firstRow="1" w:lastRow="0" w:firstColumn="0" w:lastColumn="0" w:oddVBand="0" w:evenVBand="0" w:oddHBand="0" w:evenHBand="0" w:firstRowFirstColumn="0" w:firstRowLastColumn="0" w:lastRowFirstColumn="0" w:lastRowLastColumn="0"/>
              <w:rPr>
                <w:b w:val="0"/>
                <w:sz w:val="22"/>
                <w:lang w:val="cs-CZ"/>
              </w:rPr>
            </w:pPr>
            <w:r w:rsidRPr="000923B1">
              <w:rPr>
                <w:sz w:val="22"/>
                <w:lang w:val="cs-CZ"/>
              </w:rPr>
              <w:t>Realističtější podmínky čerpání investičních pobídek (novela zákona o investičních pobídkách a o daních z příjmů)</w:t>
            </w:r>
          </w:p>
        </w:tc>
      </w:tr>
      <w:tr w:rsidR="00320DC1" w:rsidRPr="000923B1" w14:paraId="1182F490" w14:textId="77777777" w:rsidTr="00320DC1">
        <w:trPr>
          <w:trHeight w:val="2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00A1DE"/>
              <w:left w:val="nil"/>
              <w:bottom w:val="single" w:sz="4" w:space="0" w:color="00A1DE"/>
              <w:right w:val="nil"/>
            </w:tcBorders>
            <w:hideMark/>
          </w:tcPr>
          <w:p w14:paraId="65E5BD5D" w14:textId="77777777" w:rsidR="00320DC1" w:rsidRPr="000923B1" w:rsidRDefault="00320DC1">
            <w:pPr>
              <w:rPr>
                <w:b/>
                <w:sz w:val="22"/>
                <w:lang w:val="cs-CZ"/>
              </w:rPr>
            </w:pPr>
            <w:r w:rsidRPr="000923B1">
              <w:rPr>
                <w:b/>
                <w:sz w:val="22"/>
                <w:lang w:val="cs-CZ"/>
              </w:rPr>
              <w:t>Předpis</w:t>
            </w:r>
          </w:p>
        </w:tc>
        <w:tc>
          <w:tcPr>
            <w:tcW w:w="7682" w:type="dxa"/>
            <w:tcBorders>
              <w:top w:val="single" w:sz="4" w:space="0" w:color="00A1DE"/>
              <w:left w:val="nil"/>
              <w:bottom w:val="single" w:sz="4" w:space="0" w:color="00A1DE"/>
              <w:right w:val="nil"/>
            </w:tcBorders>
            <w:hideMark/>
          </w:tcPr>
          <w:p w14:paraId="399E85E2" w14:textId="77777777" w:rsidR="00320DC1" w:rsidRPr="000923B1" w:rsidRDefault="00320DC1">
            <w:pPr>
              <w:cnfStyle w:val="000000000000" w:firstRow="0" w:lastRow="0" w:firstColumn="0" w:lastColumn="0" w:oddVBand="0" w:evenVBand="0" w:oddHBand="0" w:evenHBand="0" w:firstRowFirstColumn="0" w:firstRowLastColumn="0" w:lastRowFirstColumn="0" w:lastRowLastColumn="0"/>
              <w:rPr>
                <w:sz w:val="22"/>
                <w:lang w:val="cs-CZ"/>
              </w:rPr>
            </w:pPr>
            <w:r w:rsidRPr="000923B1">
              <w:rPr>
                <w:sz w:val="22"/>
                <w:lang w:val="cs-CZ"/>
              </w:rPr>
              <w:t>Zákon č. 84/2015 Sb. (novela zákona o investičních pobídkách a o daních z příjmů s ohledem na čerpání investičních pobídek)</w:t>
            </w:r>
          </w:p>
        </w:tc>
      </w:tr>
      <w:tr w:rsidR="00320DC1" w:rsidRPr="000923B1" w14:paraId="36467928" w14:textId="77777777" w:rsidTr="00320DC1">
        <w:trPr>
          <w:trHeight w:val="2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00A1DE"/>
              <w:left w:val="nil"/>
              <w:bottom w:val="single" w:sz="4" w:space="0" w:color="00A1DE"/>
              <w:right w:val="nil"/>
            </w:tcBorders>
            <w:hideMark/>
          </w:tcPr>
          <w:p w14:paraId="67ECFA66" w14:textId="77777777" w:rsidR="00320DC1" w:rsidRPr="000923B1" w:rsidRDefault="00320DC1">
            <w:pPr>
              <w:rPr>
                <w:sz w:val="22"/>
                <w:lang w:val="cs-CZ"/>
              </w:rPr>
            </w:pPr>
            <w:r w:rsidRPr="000923B1">
              <w:rPr>
                <w:b/>
                <w:sz w:val="22"/>
                <w:lang w:val="cs-CZ"/>
              </w:rPr>
              <w:t>Autor</w:t>
            </w:r>
          </w:p>
        </w:tc>
        <w:tc>
          <w:tcPr>
            <w:tcW w:w="7682" w:type="dxa"/>
            <w:tcBorders>
              <w:top w:val="single" w:sz="4" w:space="0" w:color="00A1DE"/>
              <w:left w:val="nil"/>
              <w:bottom w:val="single" w:sz="4" w:space="0" w:color="00A1DE"/>
              <w:right w:val="nil"/>
            </w:tcBorders>
            <w:hideMark/>
          </w:tcPr>
          <w:p w14:paraId="094EFCD7" w14:textId="77777777" w:rsidR="00320DC1" w:rsidRPr="000923B1" w:rsidRDefault="00320DC1">
            <w:pPr>
              <w:cnfStyle w:val="000000000000" w:firstRow="0" w:lastRow="0" w:firstColumn="0" w:lastColumn="0" w:oddVBand="0" w:evenVBand="0" w:oddHBand="0" w:evenHBand="0" w:firstRowFirstColumn="0" w:firstRowLastColumn="0" w:lastRowFirstColumn="0" w:lastRowLastColumn="0"/>
              <w:rPr>
                <w:sz w:val="22"/>
                <w:lang w:val="cs-CZ"/>
              </w:rPr>
            </w:pPr>
            <w:r w:rsidRPr="000923B1">
              <w:rPr>
                <w:sz w:val="22"/>
                <w:lang w:val="cs-CZ"/>
              </w:rPr>
              <w:t>Ministerstvo průmyslu a obchodu</w:t>
            </w:r>
          </w:p>
        </w:tc>
      </w:tr>
      <w:tr w:rsidR="00320DC1" w:rsidRPr="000923B1" w14:paraId="440B8DC5" w14:textId="77777777" w:rsidTr="00320DC1">
        <w:trPr>
          <w:trHeight w:val="2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00A1DE"/>
              <w:left w:val="nil"/>
              <w:bottom w:val="single" w:sz="4" w:space="0" w:color="00A1DE"/>
              <w:right w:val="nil"/>
            </w:tcBorders>
            <w:hideMark/>
          </w:tcPr>
          <w:p w14:paraId="48A2BE16" w14:textId="77777777" w:rsidR="00320DC1" w:rsidRPr="000923B1" w:rsidRDefault="00320DC1">
            <w:pPr>
              <w:rPr>
                <w:b/>
                <w:sz w:val="22"/>
                <w:lang w:val="cs-CZ"/>
              </w:rPr>
            </w:pPr>
            <w:r w:rsidRPr="000923B1">
              <w:rPr>
                <w:b/>
                <w:sz w:val="22"/>
                <w:lang w:val="cs-CZ"/>
              </w:rPr>
              <w:t xml:space="preserve">Nominace </w:t>
            </w:r>
          </w:p>
        </w:tc>
        <w:tc>
          <w:tcPr>
            <w:tcW w:w="7682" w:type="dxa"/>
            <w:tcBorders>
              <w:top w:val="single" w:sz="4" w:space="0" w:color="00A1DE"/>
              <w:left w:val="nil"/>
              <w:bottom w:val="single" w:sz="4" w:space="0" w:color="00A1DE"/>
              <w:right w:val="nil"/>
            </w:tcBorders>
            <w:hideMark/>
          </w:tcPr>
          <w:p w14:paraId="26632191" w14:textId="77777777" w:rsidR="00320DC1" w:rsidRPr="000923B1" w:rsidRDefault="00320DC1">
            <w:pPr>
              <w:pStyle w:val="Prosttext"/>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Cs w:val="22"/>
              </w:rPr>
            </w:pPr>
            <w:r w:rsidRPr="000923B1">
              <w:rPr>
                <w:rFonts w:ascii="Arial" w:eastAsia="Arial" w:hAnsi="Arial" w:cs="Times New Roman"/>
                <w:szCs w:val="22"/>
              </w:rPr>
              <w:t>Zmírňují se některé neúměrné sankce při porušení pravidel pro čerpání pobídek (např. při fúzi či nesprávném nastavení převodních cen příjemce se pouze zastavuje čerpání do budoucna, resp. se upraví výše čerpání, ale nevrací se automaticky již vyčerpaná pobídka). Firmy se výslovně mohou rozhodnout pobídku ve formě slevy na dani dál nečerpat, dochází také ke zmírnění administrativních požadavků při přidělování investičních pobídek. Tedy vhodné úpravy dotýkající se současných i potenciálních nových příjemců pobídek.</w:t>
            </w:r>
          </w:p>
        </w:tc>
      </w:tr>
    </w:tbl>
    <w:p w14:paraId="0A4A8D18" w14:textId="77777777" w:rsidR="00320DC1" w:rsidRPr="000923B1" w:rsidRDefault="00320DC1" w:rsidP="00320DC1">
      <w:pPr>
        <w:rPr>
          <w:b/>
          <w:sz w:val="22"/>
          <w:szCs w:val="20"/>
          <w:lang w:val="cs-CZ"/>
        </w:rPr>
      </w:pPr>
    </w:p>
    <w:p w14:paraId="691392FB" w14:textId="77777777" w:rsidR="00320DC1" w:rsidRPr="000923B1" w:rsidRDefault="00320DC1" w:rsidP="00320DC1">
      <w:pPr>
        <w:rPr>
          <w:b/>
          <w:sz w:val="22"/>
          <w:szCs w:val="20"/>
          <w:lang w:val="cs-CZ"/>
        </w:rPr>
      </w:pPr>
    </w:p>
    <w:tbl>
      <w:tblPr>
        <w:tblStyle w:val="Deloittetable2"/>
        <w:tblW w:w="0" w:type="auto"/>
        <w:tblLook w:val="04A0" w:firstRow="1" w:lastRow="0" w:firstColumn="1" w:lastColumn="0" w:noHBand="0" w:noVBand="1"/>
      </w:tblPr>
      <w:tblGrid>
        <w:gridCol w:w="1276"/>
        <w:gridCol w:w="7682"/>
      </w:tblGrid>
      <w:tr w:rsidR="00320DC1" w:rsidRPr="000923B1" w14:paraId="22AD8AE3" w14:textId="77777777" w:rsidTr="00320DC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6" w:type="dxa"/>
            <w:tcBorders>
              <w:top w:val="nil"/>
              <w:left w:val="nil"/>
              <w:bottom w:val="single" w:sz="4" w:space="0" w:color="00A1DE"/>
              <w:right w:val="nil"/>
            </w:tcBorders>
            <w:hideMark/>
          </w:tcPr>
          <w:p w14:paraId="2EFA890B" w14:textId="77777777" w:rsidR="00320DC1" w:rsidRPr="000923B1" w:rsidRDefault="00320DC1">
            <w:pPr>
              <w:rPr>
                <w:b w:val="0"/>
                <w:sz w:val="22"/>
                <w:lang w:val="cs-CZ"/>
              </w:rPr>
            </w:pPr>
            <w:r w:rsidRPr="000923B1">
              <w:rPr>
                <w:sz w:val="22"/>
                <w:lang w:val="cs-CZ"/>
              </w:rPr>
              <w:t>5. název</w:t>
            </w:r>
          </w:p>
        </w:tc>
        <w:tc>
          <w:tcPr>
            <w:tcW w:w="7682" w:type="dxa"/>
            <w:tcBorders>
              <w:top w:val="nil"/>
              <w:left w:val="nil"/>
              <w:bottom w:val="single" w:sz="4" w:space="0" w:color="00A1DE"/>
              <w:right w:val="nil"/>
            </w:tcBorders>
            <w:hideMark/>
          </w:tcPr>
          <w:p w14:paraId="5C682703" w14:textId="77777777" w:rsidR="00320DC1" w:rsidRPr="000923B1" w:rsidRDefault="00320DC1">
            <w:pPr>
              <w:cnfStyle w:val="100000000000" w:firstRow="1" w:lastRow="0" w:firstColumn="0" w:lastColumn="0" w:oddVBand="0" w:evenVBand="0" w:oddHBand="0" w:evenHBand="0" w:firstRowFirstColumn="0" w:firstRowLastColumn="0" w:lastRowFirstColumn="0" w:lastRowLastColumn="0"/>
              <w:rPr>
                <w:b w:val="0"/>
                <w:sz w:val="22"/>
                <w:lang w:val="cs-CZ"/>
              </w:rPr>
            </w:pPr>
            <w:r w:rsidRPr="000923B1">
              <w:rPr>
                <w:sz w:val="22"/>
                <w:lang w:val="cs-CZ"/>
              </w:rPr>
              <w:t>Data veřejných orgánů ke komerčnímu využití (novela zákona o svobodném přístupu k informacím)</w:t>
            </w:r>
          </w:p>
        </w:tc>
      </w:tr>
      <w:tr w:rsidR="00320DC1" w:rsidRPr="000923B1" w14:paraId="4CD7C6B3" w14:textId="77777777" w:rsidTr="00320DC1">
        <w:trPr>
          <w:trHeight w:val="2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00A1DE"/>
              <w:left w:val="nil"/>
              <w:bottom w:val="single" w:sz="4" w:space="0" w:color="00A1DE"/>
              <w:right w:val="nil"/>
            </w:tcBorders>
            <w:hideMark/>
          </w:tcPr>
          <w:p w14:paraId="76B5F669" w14:textId="77777777" w:rsidR="00320DC1" w:rsidRPr="000923B1" w:rsidRDefault="00320DC1">
            <w:pPr>
              <w:rPr>
                <w:b/>
                <w:sz w:val="22"/>
                <w:lang w:val="cs-CZ"/>
              </w:rPr>
            </w:pPr>
            <w:r w:rsidRPr="000923B1">
              <w:rPr>
                <w:b/>
                <w:sz w:val="22"/>
                <w:lang w:val="cs-CZ"/>
              </w:rPr>
              <w:t>Předpis</w:t>
            </w:r>
          </w:p>
        </w:tc>
        <w:tc>
          <w:tcPr>
            <w:tcW w:w="7682" w:type="dxa"/>
            <w:tcBorders>
              <w:top w:val="single" w:sz="4" w:space="0" w:color="00A1DE"/>
              <w:left w:val="nil"/>
              <w:bottom w:val="single" w:sz="4" w:space="0" w:color="00A1DE"/>
              <w:right w:val="nil"/>
            </w:tcBorders>
            <w:hideMark/>
          </w:tcPr>
          <w:p w14:paraId="3DBB1314" w14:textId="77777777" w:rsidR="00320DC1" w:rsidRPr="000923B1" w:rsidRDefault="00320DC1">
            <w:pPr>
              <w:cnfStyle w:val="000000000000" w:firstRow="0" w:lastRow="0" w:firstColumn="0" w:lastColumn="0" w:oddVBand="0" w:evenVBand="0" w:oddHBand="0" w:evenHBand="0" w:firstRowFirstColumn="0" w:firstRowLastColumn="0" w:lastRowFirstColumn="0" w:lastRowLastColumn="0"/>
              <w:rPr>
                <w:sz w:val="22"/>
                <w:lang w:val="cs-CZ"/>
              </w:rPr>
            </w:pPr>
            <w:r w:rsidRPr="000923B1">
              <w:rPr>
                <w:sz w:val="22"/>
                <w:lang w:val="cs-CZ"/>
              </w:rPr>
              <w:t>Zákon č. 222/2015 Sb., kterým se mění zákon o svobodném přístupu k informacím</w:t>
            </w:r>
          </w:p>
        </w:tc>
      </w:tr>
      <w:tr w:rsidR="00320DC1" w:rsidRPr="000923B1" w14:paraId="20F5A5F9" w14:textId="77777777" w:rsidTr="00320DC1">
        <w:trPr>
          <w:trHeight w:val="2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00A1DE"/>
              <w:left w:val="nil"/>
              <w:bottom w:val="single" w:sz="4" w:space="0" w:color="00A1DE"/>
              <w:right w:val="nil"/>
            </w:tcBorders>
            <w:hideMark/>
          </w:tcPr>
          <w:p w14:paraId="0CEE921A" w14:textId="77777777" w:rsidR="00320DC1" w:rsidRPr="000923B1" w:rsidRDefault="00320DC1">
            <w:pPr>
              <w:rPr>
                <w:sz w:val="22"/>
                <w:lang w:val="cs-CZ"/>
              </w:rPr>
            </w:pPr>
            <w:r w:rsidRPr="000923B1">
              <w:rPr>
                <w:b/>
                <w:sz w:val="22"/>
                <w:lang w:val="cs-CZ"/>
              </w:rPr>
              <w:t>Autor</w:t>
            </w:r>
          </w:p>
        </w:tc>
        <w:tc>
          <w:tcPr>
            <w:tcW w:w="7682" w:type="dxa"/>
            <w:tcBorders>
              <w:top w:val="single" w:sz="4" w:space="0" w:color="00A1DE"/>
              <w:left w:val="nil"/>
              <w:bottom w:val="single" w:sz="4" w:space="0" w:color="00A1DE"/>
              <w:right w:val="nil"/>
            </w:tcBorders>
            <w:hideMark/>
          </w:tcPr>
          <w:p w14:paraId="3767B774" w14:textId="77777777" w:rsidR="00320DC1" w:rsidRPr="000923B1" w:rsidRDefault="00320DC1">
            <w:pPr>
              <w:cnfStyle w:val="000000000000" w:firstRow="0" w:lastRow="0" w:firstColumn="0" w:lastColumn="0" w:oddVBand="0" w:evenVBand="0" w:oddHBand="0" w:evenHBand="0" w:firstRowFirstColumn="0" w:firstRowLastColumn="0" w:lastRowFirstColumn="0" w:lastRowLastColumn="0"/>
              <w:rPr>
                <w:sz w:val="22"/>
                <w:lang w:val="cs-CZ"/>
              </w:rPr>
            </w:pPr>
            <w:r w:rsidRPr="000923B1">
              <w:rPr>
                <w:sz w:val="22"/>
                <w:lang w:val="cs-CZ"/>
              </w:rPr>
              <w:t>Evropská komise, Ministerstvo vnitra</w:t>
            </w:r>
          </w:p>
        </w:tc>
      </w:tr>
      <w:tr w:rsidR="00320DC1" w:rsidRPr="000923B1" w14:paraId="1A23C87A" w14:textId="77777777" w:rsidTr="00320DC1">
        <w:trPr>
          <w:trHeight w:val="2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00A1DE"/>
              <w:left w:val="nil"/>
              <w:bottom w:val="single" w:sz="4" w:space="0" w:color="00A1DE"/>
              <w:right w:val="nil"/>
            </w:tcBorders>
            <w:hideMark/>
          </w:tcPr>
          <w:p w14:paraId="0AED0A37" w14:textId="77777777" w:rsidR="00320DC1" w:rsidRPr="000923B1" w:rsidRDefault="00320DC1">
            <w:pPr>
              <w:rPr>
                <w:b/>
                <w:sz w:val="22"/>
                <w:lang w:val="cs-CZ"/>
              </w:rPr>
            </w:pPr>
            <w:r w:rsidRPr="000923B1">
              <w:rPr>
                <w:b/>
                <w:sz w:val="22"/>
                <w:lang w:val="cs-CZ"/>
              </w:rPr>
              <w:t xml:space="preserve">Nominace </w:t>
            </w:r>
          </w:p>
        </w:tc>
        <w:tc>
          <w:tcPr>
            <w:tcW w:w="7682" w:type="dxa"/>
            <w:tcBorders>
              <w:top w:val="single" w:sz="4" w:space="0" w:color="00A1DE"/>
              <w:left w:val="nil"/>
              <w:bottom w:val="single" w:sz="4" w:space="0" w:color="00A1DE"/>
              <w:right w:val="nil"/>
            </w:tcBorders>
            <w:hideMark/>
          </w:tcPr>
          <w:p w14:paraId="42ADA1C5" w14:textId="77777777" w:rsidR="00320DC1" w:rsidRPr="000923B1" w:rsidRDefault="00320DC1">
            <w:pPr>
              <w:cnfStyle w:val="000000000000" w:firstRow="0" w:lastRow="0" w:firstColumn="0" w:lastColumn="0" w:oddVBand="0" w:evenVBand="0" w:oddHBand="0" w:evenHBand="0" w:firstRowFirstColumn="0" w:firstRowLastColumn="0" w:lastRowFirstColumn="0" w:lastRowLastColumn="0"/>
              <w:rPr>
                <w:sz w:val="22"/>
                <w:lang w:val="cs-CZ"/>
              </w:rPr>
            </w:pPr>
            <w:r w:rsidRPr="000923B1">
              <w:rPr>
                <w:sz w:val="22"/>
                <w:lang w:val="cs-CZ"/>
              </w:rPr>
              <w:t xml:space="preserve">Zavádí se revoluční právo přístupu k hromadným informacím drženým veřejnými subjekty v otevřených a strojově zpracovatelných formátech, včetně možnosti sdílení veřejně přístupných dat  z databází a umožnění on-line dálkového přístupu k informacím, které se v průběhu času mění, obnovují, doplňují nebo opakovaně vytváří. Získávání informací cestou individuálních žádostí se přežilo jako těžkopádný nástroj zaměřený spíše na politické uplatňování práva občanů na informace. Provedené změny činí z práva na informace obor budoucnosti i pro komerční využití hromadných dat, nové aplikace a rozvoj ICT businessu. </w:t>
            </w:r>
          </w:p>
        </w:tc>
      </w:tr>
    </w:tbl>
    <w:p w14:paraId="69CEB5DA" w14:textId="77777777" w:rsidR="00320DC1" w:rsidRPr="000923B1" w:rsidRDefault="00320DC1" w:rsidP="00320DC1">
      <w:pPr>
        <w:rPr>
          <w:b/>
          <w:sz w:val="22"/>
          <w:szCs w:val="20"/>
          <w:lang w:val="cs-CZ"/>
        </w:rPr>
      </w:pPr>
    </w:p>
    <w:p w14:paraId="3A235B9D" w14:textId="6389369D" w:rsidR="00D13252" w:rsidRDefault="00D13252">
      <w:pPr>
        <w:rPr>
          <w:bCs/>
          <w:sz w:val="20"/>
          <w:szCs w:val="20"/>
          <w:lang w:val="cs-CZ"/>
        </w:rPr>
      </w:pPr>
      <w:r>
        <w:rPr>
          <w:bCs/>
          <w:sz w:val="20"/>
          <w:szCs w:val="20"/>
          <w:lang w:val="cs-CZ"/>
        </w:rPr>
        <w:br w:type="page"/>
      </w:r>
    </w:p>
    <w:p w14:paraId="220101B9" w14:textId="6FE904AA" w:rsidR="00597B72" w:rsidRPr="000923B1" w:rsidRDefault="00D13252" w:rsidP="00CB1F1E">
      <w:pPr>
        <w:rPr>
          <w:bCs/>
          <w:sz w:val="20"/>
          <w:szCs w:val="20"/>
          <w:lang w:val="cs-CZ"/>
        </w:rPr>
      </w:pPr>
      <w:r w:rsidRPr="00D13252">
        <w:rPr>
          <w:bCs/>
          <w:noProof/>
          <w:sz w:val="20"/>
          <w:szCs w:val="20"/>
          <w:lang w:val="cs-CZ" w:eastAsia="cs-CZ"/>
        </w:rPr>
        <w:lastRenderedPageBreak/>
        <w:drawing>
          <wp:anchor distT="0" distB="0" distL="114300" distR="114300" simplePos="0" relativeHeight="251658240" behindDoc="1" locked="0" layoutInCell="1" allowOverlap="1" wp14:anchorId="4F5ECBF4" wp14:editId="10ED0188">
            <wp:simplePos x="0" y="0"/>
            <wp:positionH relativeFrom="page">
              <wp:posOffset>495300</wp:posOffset>
            </wp:positionH>
            <wp:positionV relativeFrom="paragraph">
              <wp:posOffset>23495</wp:posOffset>
            </wp:positionV>
            <wp:extent cx="6700344" cy="2590800"/>
            <wp:effectExtent l="0" t="0" r="5715" b="0"/>
            <wp:wrapNone/>
            <wp:docPr id="2" name="Picture 2" descr="C:\Users\lkropik\Documents\!Lukas\!Functions\Legal_Ambruz_and_Dark_Deloitte_Legal\!!Zákon_roku\Zákon roku 2015\Partneri\Zakon roku - partne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kropik\Documents\!Lukas\!Functions\Legal_Ambruz_and_Dark_Deloitte_Legal\!!Zákon_roku\Zákon roku 2015\Partneri\Zakon roku - partner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00344" cy="2590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E73B1" w14:textId="77777777" w:rsidR="006918F8" w:rsidRPr="000923B1" w:rsidRDefault="006918F8" w:rsidP="00A32459">
      <w:pPr>
        <w:rPr>
          <w:sz w:val="20"/>
          <w:szCs w:val="20"/>
          <w:lang w:val="cs-CZ"/>
        </w:rPr>
      </w:pPr>
    </w:p>
    <w:p w14:paraId="03294F75" w14:textId="40305FA7" w:rsidR="00D13252" w:rsidRDefault="00D13252" w:rsidP="00A32459">
      <w:pPr>
        <w:rPr>
          <w:sz w:val="20"/>
          <w:szCs w:val="20"/>
          <w:lang w:val="cs-CZ"/>
        </w:rPr>
      </w:pPr>
      <w:r>
        <w:rPr>
          <w:sz w:val="20"/>
          <w:szCs w:val="20"/>
          <w:lang w:val="cs-CZ"/>
        </w:rPr>
        <w:br/>
      </w:r>
    </w:p>
    <w:p w14:paraId="210E6473" w14:textId="283710B8" w:rsidR="006918F8" w:rsidRPr="000923B1" w:rsidRDefault="00D13252" w:rsidP="00A32459">
      <w:pPr>
        <w:rPr>
          <w:sz w:val="20"/>
          <w:szCs w:val="20"/>
          <w:lang w:val="cs-CZ"/>
        </w:rPr>
        <w:sectPr w:rsidR="006918F8" w:rsidRPr="000923B1" w:rsidSect="00367321">
          <w:headerReference w:type="first" r:id="rId13"/>
          <w:type w:val="continuous"/>
          <w:pgSz w:w="11906" w:h="16838" w:code="9"/>
          <w:pgMar w:top="1418" w:right="1558" w:bottom="1418" w:left="1418" w:header="709" w:footer="255" w:gutter="0"/>
          <w:paperSrc w:first="15" w:other="15"/>
          <w:cols w:space="708"/>
          <w:titlePg/>
          <w:docGrid w:linePitch="360"/>
        </w:sectPr>
      </w:pPr>
      <w:r>
        <w:rPr>
          <w:sz w:val="20"/>
          <w:szCs w:val="20"/>
          <w:lang w:val="cs-CZ"/>
        </w:rPr>
        <w:br w:type="page"/>
      </w:r>
    </w:p>
    <w:tbl>
      <w:tblPr>
        <w:tblStyle w:val="Deloittetable81"/>
        <w:tblW w:w="0" w:type="auto"/>
        <w:tblLook w:val="04A0" w:firstRow="1" w:lastRow="0" w:firstColumn="1" w:lastColumn="0" w:noHBand="0" w:noVBand="1"/>
      </w:tblPr>
      <w:tblGrid>
        <w:gridCol w:w="4493"/>
        <w:gridCol w:w="4493"/>
      </w:tblGrid>
      <w:tr w:rsidR="00075B49" w:rsidRPr="000923B1" w14:paraId="5BE22D49" w14:textId="77777777" w:rsidTr="00D71F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3" w:type="dxa"/>
          </w:tcPr>
          <w:p w14:paraId="62D9DC3F" w14:textId="77777777" w:rsidR="00075B49" w:rsidRPr="000923B1" w:rsidRDefault="00075B49" w:rsidP="00CB1F1E">
            <w:pPr>
              <w:rPr>
                <w:sz w:val="22"/>
                <w:szCs w:val="22"/>
                <w:lang w:val="cs-CZ"/>
              </w:rPr>
            </w:pPr>
            <w:r w:rsidRPr="000923B1">
              <w:rPr>
                <w:sz w:val="22"/>
                <w:szCs w:val="22"/>
                <w:lang w:val="cs-CZ"/>
              </w:rPr>
              <w:lastRenderedPageBreak/>
              <w:t xml:space="preserve">Kontaktní osoba: </w:t>
            </w:r>
          </w:p>
        </w:tc>
        <w:tc>
          <w:tcPr>
            <w:tcW w:w="4493" w:type="dxa"/>
          </w:tcPr>
          <w:p w14:paraId="5AE34530" w14:textId="77777777" w:rsidR="00075B49" w:rsidRPr="000923B1" w:rsidRDefault="00075B49" w:rsidP="00CB1F1E">
            <w:pPr>
              <w:cnfStyle w:val="100000000000" w:firstRow="1" w:lastRow="0" w:firstColumn="0" w:lastColumn="0" w:oddVBand="0" w:evenVBand="0" w:oddHBand="0" w:evenHBand="0" w:firstRowFirstColumn="0" w:firstRowLastColumn="0" w:lastRowFirstColumn="0" w:lastRowLastColumn="0"/>
              <w:rPr>
                <w:sz w:val="22"/>
                <w:szCs w:val="22"/>
                <w:lang w:val="cs-CZ"/>
              </w:rPr>
            </w:pPr>
            <w:r w:rsidRPr="000923B1">
              <w:rPr>
                <w:sz w:val="22"/>
                <w:szCs w:val="22"/>
                <w:lang w:val="cs-CZ"/>
              </w:rPr>
              <w:t>Lukáš Kropík</w:t>
            </w:r>
          </w:p>
        </w:tc>
      </w:tr>
      <w:tr w:rsidR="00075B49" w:rsidRPr="000923B1" w14:paraId="56DF5F04" w14:textId="77777777" w:rsidTr="00D71FD6">
        <w:tc>
          <w:tcPr>
            <w:cnfStyle w:val="001000000000" w:firstRow="0" w:lastRow="0" w:firstColumn="1" w:lastColumn="0" w:oddVBand="0" w:evenVBand="0" w:oddHBand="0" w:evenHBand="0" w:firstRowFirstColumn="0" w:firstRowLastColumn="0" w:lastRowFirstColumn="0" w:lastRowLastColumn="0"/>
            <w:tcW w:w="4493" w:type="dxa"/>
          </w:tcPr>
          <w:p w14:paraId="0EF0241C" w14:textId="77777777" w:rsidR="00075B49" w:rsidRPr="000923B1" w:rsidRDefault="00075B49" w:rsidP="00CB1F1E">
            <w:pPr>
              <w:rPr>
                <w:sz w:val="22"/>
                <w:szCs w:val="22"/>
                <w:lang w:val="cs-CZ"/>
              </w:rPr>
            </w:pPr>
            <w:r w:rsidRPr="000923B1">
              <w:rPr>
                <w:sz w:val="22"/>
                <w:szCs w:val="22"/>
                <w:lang w:val="cs-CZ"/>
              </w:rPr>
              <w:t xml:space="preserve">Pozice: </w:t>
            </w:r>
          </w:p>
        </w:tc>
        <w:tc>
          <w:tcPr>
            <w:tcW w:w="4493" w:type="dxa"/>
          </w:tcPr>
          <w:p w14:paraId="2DA610CD" w14:textId="77777777" w:rsidR="00075B49" w:rsidRPr="000923B1" w:rsidRDefault="00075B49" w:rsidP="00CB1F1E">
            <w:pPr>
              <w:cnfStyle w:val="000000000000" w:firstRow="0" w:lastRow="0" w:firstColumn="0" w:lastColumn="0" w:oddVBand="0" w:evenVBand="0" w:oddHBand="0" w:evenHBand="0" w:firstRowFirstColumn="0" w:firstRowLastColumn="0" w:lastRowFirstColumn="0" w:lastRowLastColumn="0"/>
              <w:rPr>
                <w:sz w:val="22"/>
                <w:szCs w:val="22"/>
                <w:lang w:val="cs-CZ"/>
              </w:rPr>
            </w:pPr>
            <w:r w:rsidRPr="000923B1">
              <w:rPr>
                <w:sz w:val="22"/>
                <w:szCs w:val="22"/>
                <w:lang w:val="cs-CZ"/>
              </w:rPr>
              <w:t>PR manager</w:t>
            </w:r>
          </w:p>
        </w:tc>
      </w:tr>
      <w:tr w:rsidR="00075B49" w:rsidRPr="000923B1" w14:paraId="442ADE3E" w14:textId="77777777" w:rsidTr="00D71FD6">
        <w:tc>
          <w:tcPr>
            <w:cnfStyle w:val="001000000000" w:firstRow="0" w:lastRow="0" w:firstColumn="1" w:lastColumn="0" w:oddVBand="0" w:evenVBand="0" w:oddHBand="0" w:evenHBand="0" w:firstRowFirstColumn="0" w:firstRowLastColumn="0" w:lastRowFirstColumn="0" w:lastRowLastColumn="0"/>
            <w:tcW w:w="4493" w:type="dxa"/>
          </w:tcPr>
          <w:p w14:paraId="524CEE6D" w14:textId="77777777" w:rsidR="00075B49" w:rsidRPr="000923B1" w:rsidRDefault="00075B49" w:rsidP="00CB1F1E">
            <w:pPr>
              <w:rPr>
                <w:sz w:val="22"/>
                <w:szCs w:val="22"/>
                <w:lang w:val="cs-CZ"/>
              </w:rPr>
            </w:pPr>
            <w:r w:rsidRPr="000923B1">
              <w:rPr>
                <w:sz w:val="22"/>
                <w:szCs w:val="22"/>
                <w:lang w:val="cs-CZ"/>
              </w:rPr>
              <w:t xml:space="preserve">Tel: </w:t>
            </w:r>
          </w:p>
        </w:tc>
        <w:tc>
          <w:tcPr>
            <w:tcW w:w="4493" w:type="dxa"/>
          </w:tcPr>
          <w:p w14:paraId="6C639A7F" w14:textId="77777777" w:rsidR="00075B49" w:rsidRPr="000923B1" w:rsidRDefault="00075B49" w:rsidP="00CB1F1E">
            <w:pPr>
              <w:cnfStyle w:val="000000000000" w:firstRow="0" w:lastRow="0" w:firstColumn="0" w:lastColumn="0" w:oddVBand="0" w:evenVBand="0" w:oddHBand="0" w:evenHBand="0" w:firstRowFirstColumn="0" w:firstRowLastColumn="0" w:lastRowFirstColumn="0" w:lastRowLastColumn="0"/>
              <w:rPr>
                <w:sz w:val="22"/>
                <w:szCs w:val="22"/>
                <w:lang w:val="cs-CZ"/>
              </w:rPr>
            </w:pPr>
            <w:r w:rsidRPr="000923B1">
              <w:rPr>
                <w:sz w:val="22"/>
                <w:szCs w:val="22"/>
                <w:lang w:val="cs-CZ"/>
              </w:rPr>
              <w:t>+420 246 042 488</w:t>
            </w:r>
          </w:p>
        </w:tc>
      </w:tr>
      <w:tr w:rsidR="00075B49" w:rsidRPr="000923B1" w14:paraId="53839B43" w14:textId="77777777" w:rsidTr="00D71FD6">
        <w:tc>
          <w:tcPr>
            <w:cnfStyle w:val="001000000000" w:firstRow="0" w:lastRow="0" w:firstColumn="1" w:lastColumn="0" w:oddVBand="0" w:evenVBand="0" w:oddHBand="0" w:evenHBand="0" w:firstRowFirstColumn="0" w:firstRowLastColumn="0" w:lastRowFirstColumn="0" w:lastRowLastColumn="0"/>
            <w:tcW w:w="4493" w:type="dxa"/>
          </w:tcPr>
          <w:p w14:paraId="3B9CBDC6" w14:textId="77777777" w:rsidR="00075B49" w:rsidRPr="000923B1" w:rsidRDefault="00075B49" w:rsidP="00CB1F1E">
            <w:pPr>
              <w:rPr>
                <w:sz w:val="22"/>
                <w:szCs w:val="22"/>
                <w:lang w:val="cs-CZ"/>
              </w:rPr>
            </w:pPr>
            <w:r w:rsidRPr="000923B1">
              <w:rPr>
                <w:sz w:val="22"/>
                <w:szCs w:val="22"/>
                <w:lang w:val="cs-CZ"/>
              </w:rPr>
              <w:t xml:space="preserve">Mob: </w:t>
            </w:r>
          </w:p>
        </w:tc>
        <w:tc>
          <w:tcPr>
            <w:tcW w:w="4493" w:type="dxa"/>
          </w:tcPr>
          <w:p w14:paraId="07293930" w14:textId="77777777" w:rsidR="00075B49" w:rsidRPr="000923B1" w:rsidRDefault="00075B49" w:rsidP="00CB1F1E">
            <w:pPr>
              <w:cnfStyle w:val="000000000000" w:firstRow="0" w:lastRow="0" w:firstColumn="0" w:lastColumn="0" w:oddVBand="0" w:evenVBand="0" w:oddHBand="0" w:evenHBand="0" w:firstRowFirstColumn="0" w:firstRowLastColumn="0" w:lastRowFirstColumn="0" w:lastRowLastColumn="0"/>
              <w:rPr>
                <w:sz w:val="22"/>
                <w:szCs w:val="22"/>
                <w:lang w:val="cs-CZ"/>
              </w:rPr>
            </w:pPr>
            <w:r w:rsidRPr="000923B1">
              <w:rPr>
                <w:sz w:val="22"/>
                <w:szCs w:val="22"/>
                <w:lang w:val="cs-CZ"/>
              </w:rPr>
              <w:t>+420 775 013 139</w:t>
            </w:r>
          </w:p>
        </w:tc>
      </w:tr>
      <w:tr w:rsidR="00075B49" w:rsidRPr="000923B1" w14:paraId="5739B0E5" w14:textId="77777777" w:rsidTr="00D71FD6">
        <w:tc>
          <w:tcPr>
            <w:cnfStyle w:val="001000000000" w:firstRow="0" w:lastRow="0" w:firstColumn="1" w:lastColumn="0" w:oddVBand="0" w:evenVBand="0" w:oddHBand="0" w:evenHBand="0" w:firstRowFirstColumn="0" w:firstRowLastColumn="0" w:lastRowFirstColumn="0" w:lastRowLastColumn="0"/>
            <w:tcW w:w="4493" w:type="dxa"/>
          </w:tcPr>
          <w:p w14:paraId="7AE83559" w14:textId="77777777" w:rsidR="00075B49" w:rsidRPr="000923B1" w:rsidRDefault="00075B49" w:rsidP="00CB1F1E">
            <w:pPr>
              <w:rPr>
                <w:sz w:val="22"/>
                <w:szCs w:val="22"/>
                <w:lang w:val="cs-CZ"/>
              </w:rPr>
            </w:pPr>
            <w:r w:rsidRPr="000923B1">
              <w:rPr>
                <w:sz w:val="22"/>
                <w:szCs w:val="22"/>
                <w:lang w:val="cs-CZ"/>
              </w:rPr>
              <w:t xml:space="preserve">Email: </w:t>
            </w:r>
          </w:p>
        </w:tc>
        <w:tc>
          <w:tcPr>
            <w:tcW w:w="4493" w:type="dxa"/>
          </w:tcPr>
          <w:p w14:paraId="395399A2" w14:textId="77777777" w:rsidR="00075B49" w:rsidRPr="000923B1" w:rsidRDefault="006333DD" w:rsidP="00CB1F1E">
            <w:pPr>
              <w:cnfStyle w:val="000000000000" w:firstRow="0" w:lastRow="0" w:firstColumn="0" w:lastColumn="0" w:oddVBand="0" w:evenVBand="0" w:oddHBand="0" w:evenHBand="0" w:firstRowFirstColumn="0" w:firstRowLastColumn="0" w:lastRowFirstColumn="0" w:lastRowLastColumn="0"/>
              <w:rPr>
                <w:sz w:val="22"/>
                <w:szCs w:val="22"/>
                <w:lang w:val="cs-CZ"/>
              </w:rPr>
            </w:pPr>
            <w:hyperlink r:id="rId14" w:history="1">
              <w:r w:rsidR="00075B49" w:rsidRPr="000923B1">
                <w:rPr>
                  <w:rStyle w:val="Hypertextovodkaz"/>
                  <w:sz w:val="22"/>
                  <w:szCs w:val="22"/>
                  <w:lang w:val="cs-CZ"/>
                </w:rPr>
                <w:t>lkropik@deloittece.com</w:t>
              </w:r>
            </w:hyperlink>
          </w:p>
        </w:tc>
      </w:tr>
    </w:tbl>
    <w:p w14:paraId="5B442140" w14:textId="77777777" w:rsidR="009C71F4" w:rsidRPr="000923B1" w:rsidRDefault="009C71F4" w:rsidP="00CB1F1E">
      <w:pPr>
        <w:rPr>
          <w:rFonts w:cs="Arial"/>
          <w:color w:val="000000"/>
          <w:sz w:val="16"/>
          <w:szCs w:val="16"/>
          <w:lang w:val="cs-CZ"/>
        </w:rPr>
      </w:pPr>
    </w:p>
    <w:p w14:paraId="5FBC68D8" w14:textId="77777777" w:rsidR="009C71F4" w:rsidRPr="000923B1" w:rsidRDefault="009C71F4" w:rsidP="00CB1F1E">
      <w:pPr>
        <w:rPr>
          <w:rFonts w:cs="Arial"/>
          <w:color w:val="000000"/>
          <w:sz w:val="16"/>
          <w:szCs w:val="16"/>
          <w:lang w:val="cs-CZ"/>
        </w:rPr>
      </w:pPr>
    </w:p>
    <w:p w14:paraId="5A0F0314" w14:textId="77777777" w:rsidR="009910E0" w:rsidRPr="000923B1" w:rsidRDefault="009910E0" w:rsidP="00CB1F1E">
      <w:pPr>
        <w:rPr>
          <w:rFonts w:cs="Arial"/>
          <w:color w:val="000000"/>
          <w:sz w:val="16"/>
          <w:szCs w:val="16"/>
          <w:lang w:val="cs-CZ"/>
        </w:rPr>
      </w:pPr>
    </w:p>
    <w:p w14:paraId="0CF60397" w14:textId="77777777" w:rsidR="009C71F4" w:rsidRPr="000923B1" w:rsidRDefault="009C71F4" w:rsidP="00CB1F1E">
      <w:pPr>
        <w:rPr>
          <w:rFonts w:cs="Arial"/>
          <w:color w:val="000000"/>
          <w:sz w:val="16"/>
          <w:szCs w:val="16"/>
          <w:lang w:val="cs-CZ"/>
        </w:rPr>
      </w:pPr>
    </w:p>
    <w:p w14:paraId="54F46BDB" w14:textId="77777777" w:rsidR="00F1365B" w:rsidRPr="000923B1" w:rsidRDefault="00F1365B" w:rsidP="00CB1F1E">
      <w:pPr>
        <w:pStyle w:val="Maintext"/>
        <w:rPr>
          <w:lang w:val="cs-CZ" w:eastAsia="en-US"/>
        </w:rPr>
      </w:pPr>
    </w:p>
    <w:sectPr w:rsidR="00F1365B" w:rsidRPr="000923B1" w:rsidSect="00A36005">
      <w:headerReference w:type="even" r:id="rId15"/>
      <w:headerReference w:type="default" r:id="rId16"/>
      <w:headerReference w:type="first" r:id="rId17"/>
      <w:footerReference w:type="first" r:id="rId18"/>
      <w:pgSz w:w="11906" w:h="16838" w:code="9"/>
      <w:pgMar w:top="1418" w:right="1558" w:bottom="1418" w:left="1418" w:header="709" w:footer="255" w:gutter="0"/>
      <w:paperSrc w:first="15" w:other="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89E678" w14:textId="77777777" w:rsidR="000218D3" w:rsidRDefault="000218D3">
      <w:r>
        <w:separator/>
      </w:r>
    </w:p>
    <w:p w14:paraId="695B6D3F" w14:textId="77777777" w:rsidR="000218D3" w:rsidRDefault="000218D3"/>
  </w:endnote>
  <w:endnote w:type="continuationSeparator" w:id="0">
    <w:p w14:paraId="4FDD8172" w14:textId="77777777" w:rsidR="000218D3" w:rsidRDefault="000218D3">
      <w:r>
        <w:continuationSeparator/>
      </w:r>
    </w:p>
    <w:p w14:paraId="7FBBC342" w14:textId="77777777" w:rsidR="000218D3" w:rsidRDefault="000218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7F40003" w:usb1="BD261F6E" w:usb2="0587883E" w:usb3="2FB602FC" w:csb0="0000016F" w:csb1="016F1A1F"/>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55F9C" w14:textId="77777777" w:rsidR="00054A10" w:rsidRPr="009C71F4" w:rsidRDefault="00054A10" w:rsidP="00A36005">
    <w:pPr>
      <w:pStyle w:val="Maintext"/>
      <w:rPr>
        <w:lang w:val="cs-CZ" w:eastAsia="en-US"/>
      </w:rPr>
    </w:pPr>
    <w:r w:rsidRPr="009C71F4">
      <w:rPr>
        <w:lang w:val="cs-CZ" w:eastAsia="en-US"/>
      </w:rPr>
      <w:t>--------------------------------------------------------------------------------------------------------------</w:t>
    </w:r>
    <w:r>
      <w:rPr>
        <w:lang w:val="cs-CZ" w:eastAsia="en-US"/>
      </w:rPr>
      <w:t>-------------------------------</w:t>
    </w:r>
  </w:p>
  <w:p w14:paraId="1C81A8AF" w14:textId="77777777" w:rsidR="00054A10" w:rsidRDefault="00054A10" w:rsidP="00A36005">
    <w:pPr>
      <w:rPr>
        <w:rFonts w:cs="Arial"/>
        <w:color w:val="000000"/>
        <w:sz w:val="15"/>
        <w:szCs w:val="15"/>
        <w:lang w:val="cs-CZ"/>
      </w:rPr>
    </w:pPr>
  </w:p>
  <w:p w14:paraId="35310037" w14:textId="77777777" w:rsidR="00054A10" w:rsidRPr="009C71F4" w:rsidRDefault="00054A10" w:rsidP="00A36005">
    <w:pPr>
      <w:rPr>
        <w:rFonts w:cs="Arial"/>
        <w:i/>
        <w:iCs/>
        <w:color w:val="000000"/>
        <w:sz w:val="15"/>
        <w:szCs w:val="15"/>
        <w:lang w:val="cs-CZ" w:eastAsia="cs-CZ"/>
      </w:rPr>
    </w:pPr>
    <w:r w:rsidRPr="009C71F4">
      <w:rPr>
        <w:rFonts w:cs="Arial"/>
        <w:color w:val="000000"/>
        <w:sz w:val="15"/>
        <w:szCs w:val="15"/>
        <w:lang w:val="cs-CZ"/>
      </w:rPr>
      <w:t xml:space="preserve">Deloitte označuje jednu či více společností Deloitte </w:t>
    </w:r>
    <w:proofErr w:type="spellStart"/>
    <w:r w:rsidRPr="009C71F4">
      <w:rPr>
        <w:rFonts w:cs="Arial"/>
        <w:color w:val="000000"/>
        <w:sz w:val="15"/>
        <w:szCs w:val="15"/>
        <w:lang w:val="cs-CZ"/>
      </w:rPr>
      <w:t>Touche</w:t>
    </w:r>
    <w:proofErr w:type="spellEnd"/>
    <w:r w:rsidRPr="009C71F4">
      <w:rPr>
        <w:rFonts w:cs="Arial"/>
        <w:color w:val="000000"/>
        <w:sz w:val="15"/>
        <w:szCs w:val="15"/>
        <w:lang w:val="cs-CZ"/>
      </w:rPr>
      <w:t xml:space="preserve"> </w:t>
    </w:r>
    <w:proofErr w:type="spellStart"/>
    <w:r w:rsidRPr="009C71F4">
      <w:rPr>
        <w:rFonts w:cs="Arial"/>
        <w:color w:val="000000"/>
        <w:sz w:val="15"/>
        <w:szCs w:val="15"/>
        <w:lang w:val="cs-CZ"/>
      </w:rPr>
      <w:t>Tohmatsu</w:t>
    </w:r>
    <w:proofErr w:type="spellEnd"/>
    <w:r w:rsidRPr="009C71F4">
      <w:rPr>
        <w:rFonts w:cs="Arial"/>
        <w:color w:val="000000"/>
        <w:sz w:val="15"/>
        <w:szCs w:val="15"/>
        <w:lang w:val="cs-CZ"/>
      </w:rPr>
      <w:t xml:space="preserve"> Limited, britské privátní společnosti s ručením omezeným zárukou („DTTL“), jejích členských firem a jejich spřízněných subjektů. Společnost DTTL a každá z jejích členských firem představuje samostatný a nezávislý právní subjekt. Společnost DTTL (rovněž označovaná jako „Deloitte Global“) </w:t>
    </w:r>
    <w:r w:rsidRPr="009C71F4">
      <w:rPr>
        <w:color w:val="000000"/>
        <w:sz w:val="15"/>
        <w:szCs w:val="15"/>
        <w:lang w:val="cs-CZ" w:eastAsia="cs-CZ"/>
      </w:rPr>
      <w:t>služby klientům neposkytuje</w:t>
    </w:r>
    <w:r w:rsidRPr="009C71F4">
      <w:rPr>
        <w:rFonts w:cs="Arial"/>
        <w:color w:val="000000"/>
        <w:sz w:val="15"/>
        <w:szCs w:val="15"/>
        <w:lang w:val="cs-CZ"/>
      </w:rPr>
      <w:t xml:space="preserve">. Podrobný popis právní struktury společnosti Deloitte </w:t>
    </w:r>
    <w:proofErr w:type="spellStart"/>
    <w:r w:rsidRPr="009C71F4">
      <w:rPr>
        <w:rFonts w:cs="Arial"/>
        <w:color w:val="000000"/>
        <w:sz w:val="15"/>
        <w:szCs w:val="15"/>
        <w:lang w:val="cs-CZ"/>
      </w:rPr>
      <w:t>Touche</w:t>
    </w:r>
    <w:proofErr w:type="spellEnd"/>
    <w:r w:rsidRPr="009C71F4">
      <w:rPr>
        <w:rFonts w:cs="Arial"/>
        <w:color w:val="000000"/>
        <w:sz w:val="15"/>
        <w:szCs w:val="15"/>
        <w:lang w:val="cs-CZ"/>
      </w:rPr>
      <w:t xml:space="preserve"> </w:t>
    </w:r>
    <w:proofErr w:type="spellStart"/>
    <w:r w:rsidRPr="009C71F4">
      <w:rPr>
        <w:rFonts w:cs="Arial"/>
        <w:color w:val="000000"/>
        <w:sz w:val="15"/>
        <w:szCs w:val="15"/>
        <w:lang w:val="cs-CZ"/>
      </w:rPr>
      <w:t>Tohmatsu</w:t>
    </w:r>
    <w:proofErr w:type="spellEnd"/>
    <w:r w:rsidRPr="009C71F4">
      <w:rPr>
        <w:rFonts w:cs="Arial"/>
        <w:color w:val="000000"/>
        <w:sz w:val="15"/>
        <w:szCs w:val="15"/>
        <w:lang w:val="cs-CZ"/>
      </w:rPr>
      <w:t xml:space="preserve"> Limited a jejích členských firem je uveden na adrese www.deloitte.com/</w:t>
    </w:r>
    <w:proofErr w:type="spellStart"/>
    <w:r w:rsidRPr="009C71F4">
      <w:rPr>
        <w:rFonts w:cs="Arial"/>
        <w:color w:val="000000"/>
        <w:sz w:val="15"/>
        <w:szCs w:val="15"/>
        <w:lang w:val="cs-CZ"/>
      </w:rPr>
      <w:t>cz</w:t>
    </w:r>
    <w:proofErr w:type="spellEnd"/>
    <w:r w:rsidRPr="009C71F4">
      <w:rPr>
        <w:rFonts w:cs="Arial"/>
        <w:color w:val="000000"/>
        <w:sz w:val="15"/>
        <w:szCs w:val="15"/>
        <w:lang w:val="cs-CZ"/>
      </w:rPr>
      <w:t>/</w:t>
    </w:r>
    <w:proofErr w:type="spellStart"/>
    <w:r w:rsidRPr="009C71F4">
      <w:rPr>
        <w:rFonts w:cs="Arial"/>
        <w:color w:val="000000"/>
        <w:sz w:val="15"/>
        <w:szCs w:val="15"/>
        <w:lang w:val="cs-CZ"/>
      </w:rPr>
      <w:t>onas</w:t>
    </w:r>
    <w:proofErr w:type="spellEnd"/>
    <w:r w:rsidRPr="009C71F4">
      <w:rPr>
        <w:rFonts w:cs="Arial"/>
        <w:color w:val="000000"/>
        <w:sz w:val="15"/>
        <w:szCs w:val="15"/>
        <w:lang w:val="cs-CZ"/>
      </w:rPr>
      <w:t>.</w:t>
    </w:r>
  </w:p>
  <w:p w14:paraId="33E21220" w14:textId="77777777" w:rsidR="00054A10" w:rsidRPr="009C71F4" w:rsidRDefault="00054A10" w:rsidP="00A36005">
    <w:pPr>
      <w:rPr>
        <w:b/>
        <w:color w:val="00A1DE"/>
        <w:sz w:val="15"/>
        <w:szCs w:val="15"/>
        <w:lang w:val="cs-CZ" w:eastAsia="cs-CZ"/>
      </w:rPr>
    </w:pPr>
  </w:p>
  <w:p w14:paraId="02DE2ECB" w14:textId="77777777" w:rsidR="00054A10" w:rsidRPr="009C71F4" w:rsidRDefault="00054A10" w:rsidP="00A36005">
    <w:pPr>
      <w:rPr>
        <w:color w:val="000000"/>
        <w:sz w:val="15"/>
        <w:szCs w:val="15"/>
        <w:lang w:val="cs-CZ" w:eastAsia="cs-CZ"/>
      </w:rPr>
    </w:pPr>
    <w:r w:rsidRPr="009C71F4">
      <w:rPr>
        <w:color w:val="000000"/>
        <w:sz w:val="15"/>
        <w:szCs w:val="15"/>
        <w:lang w:val="cs-CZ" w:eastAsia="cs-CZ"/>
      </w:rPr>
      <w:t>Společnost Deloitte poskytuje služby v oblasti auditu, daní, poradenství a finančního a právního poradenství klientům v celé řadě odvětví veřejného a soukromého sektoru. Díky globálně propojené síti členských firem ve více než 150 zemích a teritoriích má společnost Deloitte světové možnosti a poskytuje svým klientům vysoce kvalitní služby v oblastech, ve kterých klienti řeší své nejkomplexnější podnikatelské výzvy. Přibližně 200 000 odborníků usiluje o to, aby se společnost Deloitte stala standardem nejvyšší kvality.</w:t>
    </w:r>
  </w:p>
  <w:p w14:paraId="20B5DB12" w14:textId="77777777" w:rsidR="00054A10" w:rsidRPr="009C71F4" w:rsidRDefault="00054A10" w:rsidP="00A36005">
    <w:pPr>
      <w:rPr>
        <w:color w:val="333333"/>
        <w:sz w:val="15"/>
        <w:szCs w:val="15"/>
        <w:lang w:val="cs-CZ" w:eastAsia="cs-CZ"/>
      </w:rPr>
    </w:pPr>
  </w:p>
  <w:p w14:paraId="7BA1F34A" w14:textId="77777777" w:rsidR="00054A10" w:rsidRPr="009C71F4" w:rsidRDefault="00054A10" w:rsidP="00A36005">
    <w:pPr>
      <w:rPr>
        <w:color w:val="000000"/>
        <w:sz w:val="15"/>
        <w:szCs w:val="15"/>
        <w:lang w:val="cs-CZ" w:eastAsia="cs-CZ"/>
      </w:rPr>
    </w:pPr>
    <w:r w:rsidRPr="009C71F4">
      <w:rPr>
        <w:color w:val="000000"/>
        <w:sz w:val="15"/>
        <w:szCs w:val="15"/>
        <w:lang w:val="cs-CZ" w:eastAsia="cs-CZ"/>
      </w:rPr>
      <w:t xml:space="preserve">Společnost Deloitte ve střední Evropě je regionální organizací subjektů sdružených ve společnosti Deloitte </w:t>
    </w:r>
    <w:proofErr w:type="spellStart"/>
    <w:r w:rsidRPr="009C71F4">
      <w:rPr>
        <w:color w:val="000000"/>
        <w:sz w:val="15"/>
        <w:szCs w:val="15"/>
        <w:lang w:val="cs-CZ" w:eastAsia="cs-CZ"/>
      </w:rPr>
      <w:t>Central</w:t>
    </w:r>
    <w:proofErr w:type="spellEnd"/>
    <w:r w:rsidRPr="009C71F4">
      <w:rPr>
        <w:color w:val="000000"/>
        <w:sz w:val="15"/>
        <w:szCs w:val="15"/>
        <w:lang w:val="cs-CZ" w:eastAsia="cs-CZ"/>
      </w:rPr>
      <w:t xml:space="preserve"> Europe </w:t>
    </w:r>
    <w:proofErr w:type="spellStart"/>
    <w:r w:rsidRPr="009C71F4">
      <w:rPr>
        <w:color w:val="000000"/>
        <w:sz w:val="15"/>
        <w:szCs w:val="15"/>
        <w:lang w:val="cs-CZ" w:eastAsia="cs-CZ"/>
      </w:rPr>
      <w:t>Holdings</w:t>
    </w:r>
    <w:proofErr w:type="spellEnd"/>
    <w:r w:rsidRPr="009C71F4">
      <w:rPr>
        <w:color w:val="000000"/>
        <w:sz w:val="15"/>
        <w:szCs w:val="15"/>
        <w:lang w:val="cs-CZ" w:eastAsia="cs-CZ"/>
      </w:rPr>
      <w:t xml:space="preserve"> Limited, která je členskou firmou sdružení Deloitte </w:t>
    </w:r>
    <w:proofErr w:type="spellStart"/>
    <w:r w:rsidRPr="009C71F4">
      <w:rPr>
        <w:color w:val="000000"/>
        <w:sz w:val="15"/>
        <w:szCs w:val="15"/>
        <w:lang w:val="cs-CZ" w:eastAsia="cs-CZ"/>
      </w:rPr>
      <w:t>Touche</w:t>
    </w:r>
    <w:proofErr w:type="spellEnd"/>
    <w:r w:rsidRPr="009C71F4">
      <w:rPr>
        <w:color w:val="000000"/>
        <w:sz w:val="15"/>
        <w:szCs w:val="15"/>
        <w:lang w:val="cs-CZ" w:eastAsia="cs-CZ"/>
      </w:rPr>
      <w:t xml:space="preserve"> </w:t>
    </w:r>
    <w:proofErr w:type="spellStart"/>
    <w:r w:rsidRPr="009C71F4">
      <w:rPr>
        <w:color w:val="000000"/>
        <w:sz w:val="15"/>
        <w:szCs w:val="15"/>
        <w:lang w:val="cs-CZ" w:eastAsia="cs-CZ"/>
      </w:rPr>
      <w:t>Tohmatsu</w:t>
    </w:r>
    <w:proofErr w:type="spellEnd"/>
    <w:r w:rsidRPr="009C71F4">
      <w:rPr>
        <w:color w:val="000000"/>
        <w:sz w:val="15"/>
        <w:szCs w:val="15"/>
        <w:lang w:val="cs-CZ" w:eastAsia="cs-CZ"/>
      </w:rPr>
      <w:t xml:space="preserve"> Limited ve střední Evropě. Odborné služby poskytují dceřiné a přidružené podniky společnosti Deloitte </w:t>
    </w:r>
    <w:proofErr w:type="spellStart"/>
    <w:r w:rsidRPr="009C71F4">
      <w:rPr>
        <w:color w:val="000000"/>
        <w:sz w:val="15"/>
        <w:szCs w:val="15"/>
        <w:lang w:val="cs-CZ" w:eastAsia="cs-CZ"/>
      </w:rPr>
      <w:t>Central</w:t>
    </w:r>
    <w:proofErr w:type="spellEnd"/>
    <w:r w:rsidRPr="009C71F4">
      <w:rPr>
        <w:color w:val="000000"/>
        <w:sz w:val="15"/>
        <w:szCs w:val="15"/>
        <w:lang w:val="cs-CZ" w:eastAsia="cs-CZ"/>
      </w:rPr>
      <w:t xml:space="preserve"> Europe </w:t>
    </w:r>
    <w:proofErr w:type="spellStart"/>
    <w:r w:rsidRPr="009C71F4">
      <w:rPr>
        <w:color w:val="000000"/>
        <w:sz w:val="15"/>
        <w:szCs w:val="15"/>
        <w:lang w:val="cs-CZ" w:eastAsia="cs-CZ"/>
      </w:rPr>
      <w:t>Holdings</w:t>
    </w:r>
    <w:proofErr w:type="spellEnd"/>
    <w:r w:rsidRPr="009C71F4">
      <w:rPr>
        <w:color w:val="000000"/>
        <w:sz w:val="15"/>
        <w:szCs w:val="15"/>
        <w:lang w:val="cs-CZ" w:eastAsia="cs-CZ"/>
      </w:rPr>
      <w:t xml:space="preserve"> Limited, které jsou samostatnými a nezávislými právními subjekty. Dceřiné a přidružené podniky společnosti Deloitte </w:t>
    </w:r>
    <w:proofErr w:type="spellStart"/>
    <w:r w:rsidRPr="009C71F4">
      <w:rPr>
        <w:color w:val="000000"/>
        <w:sz w:val="15"/>
        <w:szCs w:val="15"/>
        <w:lang w:val="cs-CZ" w:eastAsia="cs-CZ"/>
      </w:rPr>
      <w:t>Central</w:t>
    </w:r>
    <w:proofErr w:type="spellEnd"/>
    <w:r w:rsidRPr="009C71F4">
      <w:rPr>
        <w:color w:val="000000"/>
        <w:sz w:val="15"/>
        <w:szCs w:val="15"/>
        <w:lang w:val="cs-CZ" w:eastAsia="cs-CZ"/>
      </w:rPr>
      <w:t xml:space="preserve"> Europe </w:t>
    </w:r>
    <w:proofErr w:type="spellStart"/>
    <w:r w:rsidRPr="009C71F4">
      <w:rPr>
        <w:color w:val="000000"/>
        <w:sz w:val="15"/>
        <w:szCs w:val="15"/>
        <w:lang w:val="cs-CZ" w:eastAsia="cs-CZ"/>
      </w:rPr>
      <w:t>Holdings</w:t>
    </w:r>
    <w:proofErr w:type="spellEnd"/>
    <w:r w:rsidRPr="009C71F4">
      <w:rPr>
        <w:color w:val="000000"/>
        <w:sz w:val="15"/>
        <w:szCs w:val="15"/>
        <w:lang w:val="cs-CZ" w:eastAsia="cs-CZ"/>
      </w:rPr>
      <w:t xml:space="preserve"> Limited patří ve středoevropském regionu k předním firmám poskytujícím služby prostřednictvím více než </w:t>
    </w:r>
    <w:r w:rsidR="000923B1">
      <w:rPr>
        <w:color w:val="000000"/>
        <w:sz w:val="15"/>
        <w:szCs w:val="15"/>
        <w:lang w:val="cs-CZ" w:eastAsia="cs-CZ"/>
      </w:rPr>
      <w:t>5</w:t>
    </w:r>
    <w:r w:rsidRPr="009C71F4">
      <w:rPr>
        <w:color w:val="000000"/>
        <w:sz w:val="15"/>
        <w:szCs w:val="15"/>
        <w:lang w:val="cs-CZ" w:eastAsia="cs-CZ"/>
      </w:rPr>
      <w:t xml:space="preserve"> </w:t>
    </w:r>
    <w:r w:rsidR="000923B1">
      <w:rPr>
        <w:color w:val="000000"/>
        <w:sz w:val="15"/>
        <w:szCs w:val="15"/>
        <w:lang w:val="cs-CZ" w:eastAsia="cs-CZ"/>
      </w:rPr>
      <w:t>0</w:t>
    </w:r>
    <w:r w:rsidRPr="009C71F4">
      <w:rPr>
        <w:color w:val="000000"/>
        <w:sz w:val="15"/>
        <w:szCs w:val="15"/>
        <w:lang w:val="cs-CZ" w:eastAsia="cs-CZ"/>
      </w:rPr>
      <w:t>00 zaměstnanců ze </w:t>
    </w:r>
    <w:r w:rsidR="000923B1">
      <w:rPr>
        <w:color w:val="000000"/>
        <w:sz w:val="15"/>
        <w:szCs w:val="15"/>
        <w:lang w:val="cs-CZ" w:eastAsia="cs-CZ"/>
      </w:rPr>
      <w:t>41</w:t>
    </w:r>
    <w:r w:rsidRPr="009C71F4">
      <w:rPr>
        <w:color w:val="000000"/>
        <w:sz w:val="15"/>
        <w:szCs w:val="15"/>
        <w:lang w:val="cs-CZ" w:eastAsia="cs-CZ"/>
      </w:rPr>
      <w:t> pracovišť v 17 zemích.</w:t>
    </w:r>
  </w:p>
  <w:p w14:paraId="0EFF661B" w14:textId="77777777" w:rsidR="00054A10" w:rsidRPr="009C71F4" w:rsidRDefault="00054A10" w:rsidP="00A36005">
    <w:pPr>
      <w:rPr>
        <w:color w:val="000000"/>
        <w:sz w:val="15"/>
        <w:szCs w:val="15"/>
        <w:lang w:val="cs-CZ" w:eastAsia="cs-CZ"/>
      </w:rPr>
    </w:pPr>
  </w:p>
  <w:p w14:paraId="76FCD5F9" w14:textId="77777777" w:rsidR="00054A10" w:rsidRPr="009C71F4" w:rsidRDefault="00054A10" w:rsidP="00A36005">
    <w:pPr>
      <w:pStyle w:val="Style10ptDarkBlueBefore5ptAfter5pt"/>
      <w:ind w:right="1712"/>
      <w:rPr>
        <w:rFonts w:ascii="Arial" w:hAnsi="Arial" w:cs="Arial"/>
        <w:color w:val="auto"/>
        <w:sz w:val="15"/>
        <w:szCs w:val="15"/>
        <w:lang w:val="cs-CZ"/>
      </w:rPr>
    </w:pPr>
    <w:r w:rsidRPr="009C71F4">
      <w:rPr>
        <w:rFonts w:ascii="Arial" w:hAnsi="Arial"/>
        <w:color w:val="auto"/>
        <w:sz w:val="15"/>
        <w:szCs w:val="15"/>
        <w:lang w:val="cs-CZ" w:eastAsia="cs-CZ"/>
      </w:rPr>
      <w:t>© 201</w:t>
    </w:r>
    <w:r w:rsidR="000923B1">
      <w:rPr>
        <w:rFonts w:ascii="Arial" w:hAnsi="Arial"/>
        <w:color w:val="auto"/>
        <w:sz w:val="15"/>
        <w:szCs w:val="15"/>
        <w:lang w:val="cs-CZ" w:eastAsia="cs-CZ"/>
      </w:rPr>
      <w:t>6</w:t>
    </w:r>
    <w:r w:rsidRPr="009C71F4">
      <w:rPr>
        <w:rFonts w:ascii="Arial" w:hAnsi="Arial"/>
        <w:color w:val="auto"/>
        <w:sz w:val="15"/>
        <w:szCs w:val="15"/>
        <w:lang w:val="cs-CZ" w:eastAsia="cs-CZ"/>
      </w:rPr>
      <w:t xml:space="preserve"> Deloitte Česká republika</w:t>
    </w:r>
  </w:p>
  <w:p w14:paraId="5CA9AC30" w14:textId="77777777" w:rsidR="00054A10" w:rsidRDefault="00054A1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E38C8E" w14:textId="77777777" w:rsidR="000218D3" w:rsidRDefault="000218D3">
      <w:r>
        <w:separator/>
      </w:r>
    </w:p>
    <w:p w14:paraId="40942403" w14:textId="77777777" w:rsidR="000218D3" w:rsidRDefault="000218D3"/>
  </w:footnote>
  <w:footnote w:type="continuationSeparator" w:id="0">
    <w:p w14:paraId="591FC5E3" w14:textId="77777777" w:rsidR="000218D3" w:rsidRDefault="000218D3">
      <w:r>
        <w:continuationSeparator/>
      </w:r>
    </w:p>
    <w:p w14:paraId="32F782F0" w14:textId="77777777" w:rsidR="000218D3" w:rsidRDefault="000218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9538D" w14:textId="77777777" w:rsidR="00607AEF" w:rsidRDefault="00A16E01" w:rsidP="00F37820">
    <w:pPr>
      <w:pStyle w:val="Nadpis1"/>
      <w:numPr>
        <w:ilvl w:val="0"/>
        <w:numId w:val="0"/>
      </w:numPr>
      <w:spacing w:before="240"/>
      <w:jc w:val="right"/>
      <w:rPr>
        <w:lang w:val="cs-CZ"/>
      </w:rPr>
    </w:pPr>
    <w:r>
      <w:rPr>
        <w:noProof/>
        <w:lang w:val="cs-CZ" w:eastAsia="cs-CZ"/>
      </w:rPr>
      <w:drawing>
        <wp:anchor distT="0" distB="0" distL="114300" distR="114300" simplePos="0" relativeHeight="251658752" behindDoc="1" locked="0" layoutInCell="1" allowOverlap="1" wp14:anchorId="0A19E4CC" wp14:editId="0B335FC0">
          <wp:simplePos x="0" y="0"/>
          <wp:positionH relativeFrom="column">
            <wp:posOffset>3281045</wp:posOffset>
          </wp:positionH>
          <wp:positionV relativeFrom="paragraph">
            <wp:posOffset>73660</wp:posOffset>
          </wp:positionV>
          <wp:extent cx="2385060" cy="890270"/>
          <wp:effectExtent l="0" t="0" r="0" b="5080"/>
          <wp:wrapNone/>
          <wp:docPr id="6" name="Picture 6" descr="C:\Users\lkropik\Documents\!Lukas\!Functions\Legal_Ambruz_and_Dark_Deloitte_Legal\!Zákon_roku\Zákon roku 2015\Loga\logo1.jpg"/>
          <wp:cNvGraphicFramePr/>
          <a:graphic xmlns:a="http://schemas.openxmlformats.org/drawingml/2006/main">
            <a:graphicData uri="http://schemas.openxmlformats.org/drawingml/2006/picture">
              <pic:pic xmlns:pic="http://schemas.openxmlformats.org/drawingml/2006/picture">
                <pic:nvPicPr>
                  <pic:cNvPr id="6" name="Picture 6" descr="C:\Users\lkropik\Documents\!Lukas\!Functions\Legal_Ambruz_and_Dark_Deloitte_Legal\!Zákon_roku\Zákon roku 2015\Loga\logo1.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85060" cy="89027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0E0">
      <w:rPr>
        <w:noProof/>
        <w:lang w:val="cs-CZ" w:eastAsia="cs-CZ"/>
      </w:rPr>
      <w:drawing>
        <wp:anchor distT="0" distB="0" distL="114300" distR="114300" simplePos="0" relativeHeight="251657728" behindDoc="0" locked="0" layoutInCell="1" allowOverlap="1" wp14:anchorId="3370F8F6" wp14:editId="100BCC70">
          <wp:simplePos x="0" y="0"/>
          <wp:positionH relativeFrom="column">
            <wp:posOffset>-5715</wp:posOffset>
          </wp:positionH>
          <wp:positionV relativeFrom="paragraph">
            <wp:posOffset>143510</wp:posOffset>
          </wp:positionV>
          <wp:extent cx="1636395" cy="313055"/>
          <wp:effectExtent l="0" t="0" r="1905" b="0"/>
          <wp:wrapNone/>
          <wp:docPr id="10" name="Picture 10" descr="O:\Internal\ClientsAndMarkets\Logos\Logo\Blue\Deloitte_no_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nternal\ClientsAndMarkets\Logos\Logo\Blue\Deloitte_no_background.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36395" cy="313055"/>
                  </a:xfrm>
                  <a:prstGeom prst="rect">
                    <a:avLst/>
                  </a:prstGeom>
                  <a:noFill/>
                  <a:ln>
                    <a:noFill/>
                  </a:ln>
                </pic:spPr>
              </pic:pic>
            </a:graphicData>
          </a:graphic>
        </wp:anchor>
      </w:drawing>
    </w:r>
    <w:r w:rsidR="009910E0">
      <w:rPr>
        <w:lang w:val="cs-CZ"/>
      </w:rPr>
      <w:t xml:space="preserve">                                                                  </w:t>
    </w:r>
  </w:p>
  <w:p w14:paraId="0B47061E" w14:textId="77777777" w:rsidR="00607AEF" w:rsidRPr="00FA71FC" w:rsidRDefault="00607AEF" w:rsidP="009910E0">
    <w:pPr>
      <w:pStyle w:val="Nadpis1"/>
      <w:numPr>
        <w:ilvl w:val="0"/>
        <w:numId w:val="0"/>
      </w:numPr>
      <w:spacing w:before="240"/>
      <w:rPr>
        <w:sz w:val="32"/>
        <w:lang w:val="cs-CZ"/>
      </w:rPr>
    </w:pPr>
  </w:p>
  <w:p w14:paraId="3EC26D3A" w14:textId="77777777" w:rsidR="009910E0" w:rsidRPr="00607AEF" w:rsidRDefault="009910E0" w:rsidP="009910E0">
    <w:pPr>
      <w:pStyle w:val="Nadpis1"/>
      <w:numPr>
        <w:ilvl w:val="0"/>
        <w:numId w:val="0"/>
      </w:numPr>
      <w:spacing w:before="240"/>
      <w:rPr>
        <w:sz w:val="44"/>
        <w:lang w:val="cs-CZ"/>
      </w:rPr>
    </w:pPr>
    <w:r w:rsidRPr="00607AEF">
      <w:rPr>
        <w:sz w:val="44"/>
        <w:lang w:val="cs-CZ"/>
      </w:rPr>
      <w:t>Tisková zpráva</w:t>
    </w:r>
  </w:p>
  <w:p w14:paraId="43E50E5E" w14:textId="77777777" w:rsidR="001B7B04" w:rsidRDefault="00F3349A" w:rsidP="00F3349A">
    <w:pPr>
      <w:pStyle w:val="Zhlav"/>
      <w:tabs>
        <w:tab w:val="clear" w:pos="4703"/>
        <w:tab w:val="clear" w:pos="9406"/>
        <w:tab w:val="left" w:pos="6778"/>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26850" w14:textId="77777777" w:rsidR="000817D9" w:rsidRDefault="000817D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1583B" w14:textId="77777777" w:rsidR="000817D9" w:rsidRDefault="000817D9">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CEC23" w14:textId="77777777" w:rsidR="00A36005" w:rsidRDefault="000077E7" w:rsidP="000077E7">
    <w:pPr>
      <w:pStyle w:val="Nadpis1"/>
      <w:numPr>
        <w:ilvl w:val="0"/>
        <w:numId w:val="0"/>
      </w:numPr>
      <w:tabs>
        <w:tab w:val="center" w:pos="4465"/>
        <w:tab w:val="right" w:pos="8930"/>
      </w:tabs>
      <w:spacing w:before="240"/>
      <w:rPr>
        <w:lang w:val="cs-CZ"/>
      </w:rPr>
    </w:pPr>
    <w:r>
      <w:rPr>
        <w:lang w:val="cs-CZ"/>
      </w:rPr>
      <w:tab/>
    </w:r>
    <w:r>
      <w:rPr>
        <w:lang w:val="cs-CZ"/>
      </w:rPr>
      <w:tab/>
    </w:r>
    <w:r w:rsidR="00A36005">
      <w:rPr>
        <w:lang w:val="cs-CZ"/>
      </w:rPr>
      <w:t xml:space="preserve">                                                                  </w:t>
    </w:r>
  </w:p>
  <w:p w14:paraId="1DABF30D" w14:textId="77777777" w:rsidR="00A36005" w:rsidRDefault="00A36005" w:rsidP="00F3349A">
    <w:pPr>
      <w:pStyle w:val="Zhlav"/>
      <w:tabs>
        <w:tab w:val="clear" w:pos="4703"/>
        <w:tab w:val="clear" w:pos="9406"/>
        <w:tab w:val="left" w:pos="6778"/>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0BB68"/>
    <w:lvl w:ilvl="0">
      <w:start w:val="1"/>
      <w:numFmt w:val="decimal"/>
      <w:lvlText w:val="%1."/>
      <w:lvlJc w:val="left"/>
      <w:pPr>
        <w:tabs>
          <w:tab w:val="num" w:pos="1492"/>
        </w:tabs>
        <w:ind w:left="1492" w:hanging="360"/>
      </w:pPr>
    </w:lvl>
  </w:abstractNum>
  <w:abstractNum w:abstractNumId="1">
    <w:nsid w:val="FFFFFF7D"/>
    <w:multiLevelType w:val="singleLevel"/>
    <w:tmpl w:val="53B008A4"/>
    <w:lvl w:ilvl="0">
      <w:start w:val="1"/>
      <w:numFmt w:val="decimal"/>
      <w:lvlText w:val="%1."/>
      <w:lvlJc w:val="left"/>
      <w:pPr>
        <w:tabs>
          <w:tab w:val="num" w:pos="1209"/>
        </w:tabs>
        <w:ind w:left="1209" w:hanging="360"/>
      </w:pPr>
    </w:lvl>
  </w:abstractNum>
  <w:abstractNum w:abstractNumId="2">
    <w:nsid w:val="FFFFFF7E"/>
    <w:multiLevelType w:val="singleLevel"/>
    <w:tmpl w:val="248A0AEC"/>
    <w:lvl w:ilvl="0">
      <w:start w:val="1"/>
      <w:numFmt w:val="decimal"/>
      <w:lvlText w:val="%1."/>
      <w:lvlJc w:val="left"/>
      <w:pPr>
        <w:tabs>
          <w:tab w:val="num" w:pos="926"/>
        </w:tabs>
        <w:ind w:left="926" w:hanging="360"/>
      </w:pPr>
    </w:lvl>
  </w:abstractNum>
  <w:abstractNum w:abstractNumId="3">
    <w:nsid w:val="FFFFFF7F"/>
    <w:multiLevelType w:val="singleLevel"/>
    <w:tmpl w:val="CA385D7A"/>
    <w:lvl w:ilvl="0">
      <w:start w:val="1"/>
      <w:numFmt w:val="decimal"/>
      <w:lvlText w:val="%1."/>
      <w:lvlJc w:val="left"/>
      <w:pPr>
        <w:tabs>
          <w:tab w:val="num" w:pos="643"/>
        </w:tabs>
        <w:ind w:left="643" w:hanging="360"/>
      </w:pPr>
    </w:lvl>
  </w:abstractNum>
  <w:abstractNum w:abstractNumId="4">
    <w:nsid w:val="FFFFFF80"/>
    <w:multiLevelType w:val="singleLevel"/>
    <w:tmpl w:val="41FCB5E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C5C52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4DE9C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06CF1A"/>
    <w:lvl w:ilvl="0">
      <w:start w:val="1"/>
      <w:numFmt w:val="bullet"/>
      <w:lvlText w:val=""/>
      <w:lvlJc w:val="left"/>
      <w:pPr>
        <w:ind w:left="644" w:hanging="360"/>
      </w:pPr>
      <w:rPr>
        <w:rFonts w:ascii="Symbol" w:hAnsi="Symbol" w:hint="default"/>
        <w:b w:val="0"/>
        <w:i w:val="0"/>
        <w:sz w:val="19"/>
      </w:rPr>
    </w:lvl>
  </w:abstractNum>
  <w:abstractNum w:abstractNumId="8">
    <w:nsid w:val="FFFFFF88"/>
    <w:multiLevelType w:val="singleLevel"/>
    <w:tmpl w:val="1F8823B8"/>
    <w:lvl w:ilvl="0">
      <w:start w:val="1"/>
      <w:numFmt w:val="decimal"/>
      <w:lvlText w:val="%1."/>
      <w:lvlJc w:val="left"/>
      <w:pPr>
        <w:tabs>
          <w:tab w:val="num" w:pos="360"/>
        </w:tabs>
        <w:ind w:left="360" w:hanging="360"/>
      </w:pPr>
    </w:lvl>
  </w:abstractNum>
  <w:abstractNum w:abstractNumId="9">
    <w:nsid w:val="FFFFFF89"/>
    <w:multiLevelType w:val="singleLevel"/>
    <w:tmpl w:val="32D46B7E"/>
    <w:lvl w:ilvl="0">
      <w:start w:val="1"/>
      <w:numFmt w:val="bullet"/>
      <w:lvlText w:val=""/>
      <w:lvlJc w:val="left"/>
      <w:pPr>
        <w:tabs>
          <w:tab w:val="num" w:pos="284"/>
        </w:tabs>
        <w:ind w:left="284" w:hanging="284"/>
      </w:pPr>
      <w:rPr>
        <w:rFonts w:ascii="Symbol" w:hAnsi="Symbol" w:hint="default"/>
      </w:rPr>
    </w:lvl>
  </w:abstractNum>
  <w:abstractNum w:abstractNumId="10">
    <w:nsid w:val="10831F9F"/>
    <w:multiLevelType w:val="multilevel"/>
    <w:tmpl w:val="765C436A"/>
    <w:lvl w:ilvl="0">
      <w:start w:val="1"/>
      <w:numFmt w:val="decimal"/>
      <w:lvlText w:val="%1"/>
      <w:lvlJc w:val="left"/>
      <w:pPr>
        <w:ind w:left="360" w:hanging="360"/>
      </w:pPr>
      <w:rPr>
        <w:rFonts w:ascii="Arial" w:hAnsi="Arial" w:hint="default"/>
        <w:b/>
        <w:i w:val="0"/>
        <w:sz w:val="19"/>
      </w:rPr>
    </w:lvl>
    <w:lvl w:ilvl="1">
      <w:start w:val="1"/>
      <w:numFmt w:val="decimal"/>
      <w:lvlText w:val="%2.%1"/>
      <w:lvlJc w:val="left"/>
      <w:pPr>
        <w:ind w:left="720" w:hanging="360"/>
      </w:pPr>
      <w:rPr>
        <w:rFonts w:ascii="Arial" w:hAnsi="Arial" w:hint="default"/>
        <w:b w:val="0"/>
        <w:i w:val="0"/>
        <w:sz w:val="19"/>
      </w:rPr>
    </w:lvl>
    <w:lvl w:ilvl="2">
      <w:start w:val="1"/>
      <w:numFmt w:val="decimal"/>
      <w:lvlText w:val="%3%2%1"/>
      <w:lvlJc w:val="left"/>
      <w:pPr>
        <w:ind w:left="1080" w:hanging="360"/>
      </w:pPr>
      <w:rPr>
        <w:rFonts w:ascii="Arial" w:hAnsi="Arial" w:hint="default"/>
        <w:b w:val="0"/>
        <w:i w:val="0"/>
        <w:sz w:val="19"/>
      </w:rPr>
    </w:lvl>
    <w:lvl w:ilvl="3">
      <w:start w:val="1"/>
      <w:numFmt w:val="decimal"/>
      <w:lvlText w:val="%4%1%2%3"/>
      <w:lvlJc w:val="left"/>
      <w:pPr>
        <w:ind w:left="1440" w:hanging="360"/>
      </w:pPr>
      <w:rPr>
        <w:rFonts w:ascii="Arial" w:hAnsi="Arial" w:hint="default"/>
        <w:b w:val="0"/>
        <w:i w:val="0"/>
        <w:sz w:val="19"/>
      </w:rPr>
    </w:lvl>
    <w:lvl w:ilvl="4">
      <w:start w:val="1"/>
      <w:numFmt w:val="decimal"/>
      <w:lvlText w:val="%5.%1.%2.%3.%4"/>
      <w:lvlJc w:val="left"/>
      <w:pPr>
        <w:ind w:left="1800" w:hanging="360"/>
      </w:pPr>
      <w:rPr>
        <w:rFonts w:ascii="Arial" w:hAnsi="Arial" w:hint="default"/>
        <w:b w:val="0"/>
        <w:i/>
        <w:sz w:val="19"/>
      </w:rPr>
    </w:lvl>
    <w:lvl w:ilvl="5">
      <w:start w:val="1"/>
      <w:numFmt w:val="decimal"/>
      <w:lvlText w:val="%6.%1.%2.%3.%4.%5"/>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58D72C9"/>
    <w:multiLevelType w:val="hybridMultilevel"/>
    <w:tmpl w:val="4148CD6A"/>
    <w:lvl w:ilvl="0" w:tplc="94A4F574">
      <w:start w:val="1"/>
      <w:numFmt w:val="bullet"/>
      <w:lvlText w:val=""/>
      <w:lvlJc w:val="left"/>
      <w:pPr>
        <w:tabs>
          <w:tab w:val="num" w:pos="360"/>
        </w:tabs>
        <w:ind w:left="360" w:hanging="360"/>
      </w:pPr>
      <w:rPr>
        <w:rFonts w:ascii="Symbol" w:hAnsi="Symbol" w:hint="default"/>
        <w:color w:val="00006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5A2249F"/>
    <w:multiLevelType w:val="hybridMultilevel"/>
    <w:tmpl w:val="46CC8AFE"/>
    <w:lvl w:ilvl="0" w:tplc="9034B83A">
      <w:start w:val="1"/>
      <w:numFmt w:val="bullet"/>
      <w:pStyle w:val="Bulletslevel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19FB574B"/>
    <w:multiLevelType w:val="hybridMultilevel"/>
    <w:tmpl w:val="5D002654"/>
    <w:lvl w:ilvl="0" w:tplc="E01C104A">
      <w:start w:val="1"/>
      <w:numFmt w:val="bullet"/>
      <w:lvlText w:val=""/>
      <w:lvlJc w:val="left"/>
      <w:pPr>
        <w:ind w:left="720" w:hanging="360"/>
      </w:pPr>
      <w:rPr>
        <w:rFonts w:ascii="Wingdings" w:hAnsi="Wingdings" w:hint="default"/>
        <w:color w:val="00008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1A9E6572"/>
    <w:multiLevelType w:val="multilevel"/>
    <w:tmpl w:val="7B98DF9E"/>
    <w:lvl w:ilvl="0">
      <w:start w:val="1"/>
      <w:numFmt w:val="decimal"/>
      <w:lvlText w:val="%1"/>
      <w:lvlJc w:val="left"/>
      <w:pPr>
        <w:ind w:left="360" w:hanging="360"/>
      </w:pPr>
      <w:rPr>
        <w:rFonts w:ascii="Arial" w:hAnsi="Arial" w:hint="default"/>
        <w:b/>
        <w:i w:val="0"/>
        <w:sz w:val="19"/>
      </w:rPr>
    </w:lvl>
    <w:lvl w:ilvl="1">
      <w:start w:val="1"/>
      <w:numFmt w:val="decimal"/>
      <w:lvlText w:val="%1.%2"/>
      <w:lvlJc w:val="left"/>
      <w:pPr>
        <w:ind w:left="720" w:hanging="360"/>
      </w:pPr>
      <w:rPr>
        <w:rFonts w:ascii="Arial" w:hAnsi="Arial" w:hint="default"/>
        <w:b w:val="0"/>
        <w:i w:val="0"/>
        <w:sz w:val="19"/>
      </w:rPr>
    </w:lvl>
    <w:lvl w:ilvl="2">
      <w:start w:val="1"/>
      <w:numFmt w:val="decimal"/>
      <w:lvlText w:val="%2.%1.%3"/>
      <w:lvlJc w:val="left"/>
      <w:pPr>
        <w:ind w:left="1080" w:hanging="360"/>
      </w:pPr>
      <w:rPr>
        <w:rFonts w:ascii="Arial" w:hAnsi="Arial" w:hint="default"/>
        <w:b w:val="0"/>
        <w:i w:val="0"/>
        <w:sz w:val="19"/>
      </w:rPr>
    </w:lvl>
    <w:lvl w:ilvl="3">
      <w:start w:val="1"/>
      <w:numFmt w:val="decimal"/>
      <w:lvlText w:val="%2.%1.%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20423EF"/>
    <w:multiLevelType w:val="multilevel"/>
    <w:tmpl w:val="4DD672E4"/>
    <w:lvl w:ilvl="0">
      <w:start w:val="1"/>
      <w:numFmt w:val="decimal"/>
      <w:lvlText w:val="%1"/>
      <w:lvlJc w:val="left"/>
      <w:pPr>
        <w:ind w:left="360" w:hanging="360"/>
      </w:pPr>
      <w:rPr>
        <w:rFonts w:ascii="Arial" w:hAnsi="Arial" w:hint="default"/>
        <w:b/>
        <w:i w:val="0"/>
        <w:sz w:val="19"/>
      </w:rPr>
    </w:lvl>
    <w:lvl w:ilvl="1">
      <w:start w:val="1"/>
      <w:numFmt w:val="decimal"/>
      <w:lvlText w:val="%2.%1"/>
      <w:lvlJc w:val="left"/>
      <w:pPr>
        <w:ind w:left="720" w:hanging="360"/>
      </w:pPr>
      <w:rPr>
        <w:rFonts w:ascii="Arial" w:hAnsi="Arial" w:hint="default"/>
        <w:b w:val="0"/>
        <w:i w:val="0"/>
        <w:sz w:val="19"/>
      </w:rPr>
    </w:lvl>
    <w:lvl w:ilvl="2">
      <w:start w:val="1"/>
      <w:numFmt w:val="decimal"/>
      <w:lvlText w:val="%2.%1.%3"/>
      <w:lvlJc w:val="left"/>
      <w:pPr>
        <w:ind w:left="1080" w:hanging="360"/>
      </w:pPr>
      <w:rPr>
        <w:rFonts w:ascii="Arial" w:hAnsi="Arial" w:hint="default"/>
        <w:b w:val="0"/>
        <w:i w:val="0"/>
        <w:sz w:val="19"/>
      </w:rPr>
    </w:lvl>
    <w:lvl w:ilvl="3">
      <w:start w:val="1"/>
      <w:numFmt w:val="decimal"/>
      <w:lvlText w:val="%4.%1.%2.%3"/>
      <w:lvlJc w:val="left"/>
      <w:pPr>
        <w:ind w:left="1440" w:hanging="360"/>
      </w:pPr>
      <w:rPr>
        <w:rFonts w:ascii="Arial" w:hAnsi="Arial" w:hint="default"/>
        <w:b w:val="0"/>
        <w:i w:val="0"/>
        <w:sz w:val="19"/>
      </w:rPr>
    </w:lvl>
    <w:lvl w:ilvl="4">
      <w:start w:val="1"/>
      <w:numFmt w:val="decimal"/>
      <w:lvlText w:val="%5.%1.%2.%3.%4"/>
      <w:lvlJc w:val="left"/>
      <w:pPr>
        <w:ind w:left="1800" w:hanging="360"/>
      </w:pPr>
      <w:rPr>
        <w:rFonts w:ascii="Arial" w:hAnsi="Arial" w:hint="default"/>
        <w:b w:val="0"/>
        <w:i/>
        <w:sz w:val="19"/>
      </w:rPr>
    </w:lvl>
    <w:lvl w:ilvl="5">
      <w:start w:val="1"/>
      <w:numFmt w:val="decimal"/>
      <w:lvlText w:val="%6.%1.%2.%3.%4.%5"/>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F7B055B"/>
    <w:multiLevelType w:val="multilevel"/>
    <w:tmpl w:val="0409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7">
    <w:nsid w:val="40194BA2"/>
    <w:multiLevelType w:val="multilevel"/>
    <w:tmpl w:val="25C8C4E0"/>
    <w:lvl w:ilvl="0">
      <w:start w:val="1"/>
      <w:numFmt w:val="decimal"/>
      <w:lvlText w:val="%1"/>
      <w:lvlJc w:val="left"/>
      <w:pPr>
        <w:ind w:left="360" w:hanging="360"/>
      </w:pPr>
      <w:rPr>
        <w:rFonts w:ascii="Arial" w:hAnsi="Arial" w:hint="default"/>
        <w:b/>
        <w:i w:val="0"/>
        <w:sz w:val="19"/>
      </w:rPr>
    </w:lvl>
    <w:lvl w:ilvl="1">
      <w:start w:val="1"/>
      <w:numFmt w:val="decimal"/>
      <w:lvlText w:val="%2.%1"/>
      <w:lvlJc w:val="left"/>
      <w:pPr>
        <w:ind w:left="720" w:hanging="360"/>
      </w:pPr>
      <w:rPr>
        <w:rFonts w:ascii="Arial" w:hAnsi="Arial" w:hint="default"/>
        <w:b w:val="0"/>
        <w:i w:val="0"/>
        <w:sz w:val="19"/>
      </w:rPr>
    </w:lvl>
    <w:lvl w:ilvl="2">
      <w:start w:val="1"/>
      <w:numFmt w:val="decimal"/>
      <w:lvlText w:val="%2.%1.%3"/>
      <w:lvlJc w:val="left"/>
      <w:pPr>
        <w:ind w:left="1080" w:hanging="360"/>
      </w:pPr>
      <w:rPr>
        <w:rFonts w:ascii="Arial" w:hAnsi="Arial" w:hint="default"/>
        <w:b w:val="0"/>
        <w:i w:val="0"/>
        <w:sz w:val="19"/>
      </w:rPr>
    </w:lvl>
    <w:lvl w:ilvl="3">
      <w:start w:val="1"/>
      <w:numFmt w:val="decimal"/>
      <w:lvlText w:val="%2.%1.%3.%4"/>
      <w:lvlJc w:val="left"/>
      <w:pPr>
        <w:ind w:left="1440" w:hanging="360"/>
      </w:pPr>
      <w:rPr>
        <w:rFonts w:ascii="Arial" w:hAnsi="Arial" w:hint="default"/>
        <w:b w:val="0"/>
        <w:i w:val="0"/>
        <w:sz w:val="19"/>
      </w:rPr>
    </w:lvl>
    <w:lvl w:ilvl="4">
      <w:start w:val="1"/>
      <w:numFmt w:val="decimal"/>
      <w:lvlText w:val="%2.%4.%3.%5.%1"/>
      <w:lvlJc w:val="left"/>
      <w:pPr>
        <w:ind w:left="1800" w:hanging="360"/>
      </w:pPr>
      <w:rPr>
        <w:rFonts w:ascii="Arial" w:hAnsi="Arial" w:hint="default"/>
        <w:b w:val="0"/>
        <w:i/>
        <w:sz w:val="19"/>
      </w:rPr>
    </w:lvl>
    <w:lvl w:ilvl="5">
      <w:start w:val="1"/>
      <w:numFmt w:val="decimal"/>
      <w:lvlText w:val="%2.%1.%3.%4.%5.%6"/>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06C22A0"/>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45B572D9"/>
    <w:multiLevelType w:val="multilevel"/>
    <w:tmpl w:val="B2E69ACE"/>
    <w:lvl w:ilvl="0">
      <w:start w:val="1"/>
      <w:numFmt w:val="decimal"/>
      <w:lvlText w:val="%1"/>
      <w:lvlJc w:val="left"/>
      <w:pPr>
        <w:ind w:left="360" w:hanging="360"/>
      </w:pPr>
      <w:rPr>
        <w:rFonts w:ascii="Arial" w:hAnsi="Arial" w:hint="default"/>
        <w:b/>
        <w:i w:val="0"/>
        <w:sz w:val="19"/>
      </w:rPr>
    </w:lvl>
    <w:lvl w:ilvl="1">
      <w:start w:val="1"/>
      <w:numFmt w:val="decimal"/>
      <w:lvlText w:val="%2.%1"/>
      <w:lvlJc w:val="left"/>
      <w:pPr>
        <w:ind w:left="720" w:hanging="360"/>
      </w:pPr>
      <w:rPr>
        <w:rFonts w:ascii="Arial" w:hAnsi="Arial" w:hint="default"/>
        <w:b w:val="0"/>
        <w:i w:val="0"/>
        <w:sz w:val="19"/>
      </w:rPr>
    </w:lvl>
    <w:lvl w:ilvl="2">
      <w:start w:val="1"/>
      <w:numFmt w:val="decimal"/>
      <w:lvlText w:val="%2.%1.%3"/>
      <w:lvlJc w:val="left"/>
      <w:pPr>
        <w:ind w:left="1080" w:hanging="360"/>
      </w:pPr>
      <w:rPr>
        <w:rFonts w:ascii="Arial" w:hAnsi="Arial" w:hint="default"/>
        <w:b w:val="0"/>
        <w:i w:val="0"/>
        <w:sz w:val="19"/>
      </w:rPr>
    </w:lvl>
    <w:lvl w:ilvl="3">
      <w:start w:val="1"/>
      <w:numFmt w:val="decimal"/>
      <w:lvlText w:val="%4.%3.%2.%1"/>
      <w:lvlJc w:val="left"/>
      <w:pPr>
        <w:ind w:left="1440" w:hanging="360"/>
      </w:pPr>
      <w:rPr>
        <w:rFonts w:ascii="Arial" w:hAnsi="Arial" w:hint="default"/>
        <w:b w:val="0"/>
        <w:i w:val="0"/>
        <w:sz w:val="19"/>
      </w:rPr>
    </w:lvl>
    <w:lvl w:ilvl="4">
      <w:start w:val="1"/>
      <w:numFmt w:val="decimal"/>
      <w:lvlText w:val="%4.%3.%2.%1.%5"/>
      <w:lvlJc w:val="left"/>
      <w:pPr>
        <w:ind w:left="1800" w:hanging="360"/>
      </w:pPr>
      <w:rPr>
        <w:rFonts w:ascii="Arial" w:hAnsi="Arial" w:hint="default"/>
        <w:b w:val="0"/>
        <w:i/>
        <w:sz w:val="19"/>
      </w:rPr>
    </w:lvl>
    <w:lvl w:ilvl="5">
      <w:start w:val="1"/>
      <w:numFmt w:val="decimal"/>
      <w:lvlText w:val="%5.%4.%3.%2.%1.%6"/>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6904732"/>
    <w:multiLevelType w:val="multilevel"/>
    <w:tmpl w:val="B9268802"/>
    <w:lvl w:ilvl="0">
      <w:start w:val="1"/>
      <w:numFmt w:val="decimal"/>
      <w:lvlText w:val="%1."/>
      <w:lvlJc w:val="left"/>
      <w:pPr>
        <w:ind w:left="360" w:hanging="360"/>
      </w:pPr>
      <w:rPr>
        <w:rFonts w:ascii="Times New Roman" w:hAnsi="Times New Roman" w:hint="default"/>
        <w:b w:val="0"/>
        <w:i w:val="0"/>
        <w:color w:val="002776"/>
        <w:sz w:val="60"/>
        <w:szCs w:val="32"/>
      </w:rPr>
    </w:lvl>
    <w:lvl w:ilvl="1">
      <w:start w:val="1"/>
      <w:numFmt w:val="decimal"/>
      <w:lvlText w:val="%1.%2"/>
      <w:lvlJc w:val="left"/>
      <w:pPr>
        <w:tabs>
          <w:tab w:val="num" w:pos="3261"/>
        </w:tabs>
        <w:ind w:left="3148" w:hanging="454"/>
      </w:pPr>
      <w:rPr>
        <w:rFonts w:ascii="Times New Roman Bold" w:hAnsi="Times New Roman Bold" w:hint="default"/>
        <w:b/>
        <w:i w:val="0"/>
        <w:color w:val="000066"/>
        <w:sz w:val="24"/>
        <w:szCs w:val="24"/>
      </w:rPr>
    </w:lvl>
    <w:lvl w:ilvl="2">
      <w:start w:val="1"/>
      <w:numFmt w:val="decimal"/>
      <w:lvlText w:val="%1.%2.%3"/>
      <w:lvlJc w:val="left"/>
      <w:pPr>
        <w:tabs>
          <w:tab w:val="num" w:pos="560"/>
        </w:tabs>
        <w:ind w:left="737" w:hanging="737"/>
      </w:pPr>
      <w:rPr>
        <w:rFonts w:ascii="Times New Roman Bold" w:hAnsi="Times New Roman Bold" w:hint="default"/>
        <w:b/>
        <w:i w:val="0"/>
        <w:color w:val="000066"/>
        <w:sz w:val="24"/>
        <w:szCs w:val="24"/>
      </w:rPr>
    </w:lvl>
    <w:lvl w:ilvl="3">
      <w:start w:val="1"/>
      <w:numFmt w:val="decimal"/>
      <w:lvlText w:val="%1.%2.%3.%4"/>
      <w:lvlJc w:val="left"/>
      <w:pPr>
        <w:tabs>
          <w:tab w:val="num" w:pos="744"/>
        </w:tabs>
        <w:ind w:left="744" w:hanging="864"/>
      </w:pPr>
      <w:rPr>
        <w:rFonts w:hint="default"/>
      </w:rPr>
    </w:lvl>
    <w:lvl w:ilvl="4">
      <w:start w:val="1"/>
      <w:numFmt w:val="decimal"/>
      <w:lvlText w:val="%1.%2.%3.%4.%5"/>
      <w:lvlJc w:val="left"/>
      <w:pPr>
        <w:tabs>
          <w:tab w:val="num" w:pos="888"/>
        </w:tabs>
        <w:ind w:left="888" w:hanging="1008"/>
      </w:pPr>
      <w:rPr>
        <w:rFonts w:hint="default"/>
      </w:rPr>
    </w:lvl>
    <w:lvl w:ilvl="5">
      <w:start w:val="1"/>
      <w:numFmt w:val="decimal"/>
      <w:lvlText w:val="%1.%2.%3.%4.%5.%6"/>
      <w:lvlJc w:val="left"/>
      <w:pPr>
        <w:tabs>
          <w:tab w:val="num" w:pos="1032"/>
        </w:tabs>
        <w:ind w:left="1032" w:hanging="1152"/>
      </w:pPr>
      <w:rPr>
        <w:rFonts w:hint="default"/>
      </w:rPr>
    </w:lvl>
    <w:lvl w:ilvl="6">
      <w:start w:val="1"/>
      <w:numFmt w:val="decimal"/>
      <w:lvlText w:val="%1.%2.%3.%4.%5.%6.%7"/>
      <w:lvlJc w:val="left"/>
      <w:pPr>
        <w:tabs>
          <w:tab w:val="num" w:pos="1176"/>
        </w:tabs>
        <w:ind w:left="1176" w:hanging="1296"/>
      </w:pPr>
      <w:rPr>
        <w:rFonts w:hint="default"/>
      </w:rPr>
    </w:lvl>
    <w:lvl w:ilvl="7">
      <w:start w:val="1"/>
      <w:numFmt w:val="decimal"/>
      <w:lvlText w:val="%1.%2.%3.%4.%5.%6.%7.%8"/>
      <w:lvlJc w:val="left"/>
      <w:pPr>
        <w:tabs>
          <w:tab w:val="num" w:pos="1320"/>
        </w:tabs>
        <w:ind w:left="1320" w:hanging="1440"/>
      </w:pPr>
      <w:rPr>
        <w:rFonts w:hint="default"/>
      </w:rPr>
    </w:lvl>
    <w:lvl w:ilvl="8">
      <w:start w:val="1"/>
      <w:numFmt w:val="decimal"/>
      <w:lvlText w:val="%1.%2.%3.%4.%5.%6.%7.%8.%9"/>
      <w:lvlJc w:val="left"/>
      <w:pPr>
        <w:tabs>
          <w:tab w:val="num" w:pos="1464"/>
        </w:tabs>
        <w:ind w:left="1464" w:hanging="1584"/>
      </w:pPr>
      <w:rPr>
        <w:rFonts w:hint="default"/>
      </w:rPr>
    </w:lvl>
  </w:abstractNum>
  <w:abstractNum w:abstractNumId="21">
    <w:nsid w:val="46AF79E7"/>
    <w:multiLevelType w:val="multilevel"/>
    <w:tmpl w:val="6B34493C"/>
    <w:lvl w:ilvl="0">
      <w:start w:val="1"/>
      <w:numFmt w:val="decimal"/>
      <w:lvlText w:val="%1"/>
      <w:lvlJc w:val="left"/>
      <w:pPr>
        <w:ind w:left="360" w:hanging="360"/>
      </w:pPr>
      <w:rPr>
        <w:rFonts w:ascii="Arial" w:hAnsi="Arial" w:hint="default"/>
        <w:b/>
        <w:i w:val="0"/>
        <w:sz w:val="19"/>
      </w:rPr>
    </w:lvl>
    <w:lvl w:ilvl="1">
      <w:start w:val="1"/>
      <w:numFmt w:val="decimal"/>
      <w:lvlText w:val="%2.%1"/>
      <w:lvlJc w:val="left"/>
      <w:pPr>
        <w:ind w:left="720" w:hanging="360"/>
      </w:pPr>
      <w:rPr>
        <w:rFonts w:ascii="Arial" w:hAnsi="Arial" w:hint="default"/>
        <w:b w:val="0"/>
        <w:i w:val="0"/>
        <w:sz w:val="19"/>
      </w:rPr>
    </w:lvl>
    <w:lvl w:ilvl="2">
      <w:start w:val="1"/>
      <w:numFmt w:val="decimal"/>
      <w:lvlText w:val="%2%1%3"/>
      <w:lvlJc w:val="left"/>
      <w:pPr>
        <w:ind w:left="1080" w:hanging="360"/>
      </w:pPr>
      <w:rPr>
        <w:rFonts w:ascii="Arial" w:hAnsi="Arial" w:hint="default"/>
        <w:b w:val="0"/>
        <w:i w:val="0"/>
        <w:sz w:val="19"/>
      </w:rPr>
    </w:lvl>
    <w:lvl w:ilvl="3">
      <w:start w:val="1"/>
      <w:numFmt w:val="decimal"/>
      <w:lvlText w:val="%3%2%1%4"/>
      <w:lvlJc w:val="left"/>
      <w:pPr>
        <w:ind w:left="1440" w:hanging="360"/>
      </w:pPr>
      <w:rPr>
        <w:rFonts w:ascii="Arial" w:hAnsi="Arial" w:hint="default"/>
        <w:b w:val="0"/>
        <w:i w:val="0"/>
        <w:sz w:val="19"/>
      </w:rPr>
    </w:lvl>
    <w:lvl w:ilvl="4">
      <w:start w:val="1"/>
      <w:numFmt w:val="decimal"/>
      <w:lvlText w:val="%5.%1.%2.%3.%4"/>
      <w:lvlJc w:val="left"/>
      <w:pPr>
        <w:ind w:left="1800" w:hanging="360"/>
      </w:pPr>
      <w:rPr>
        <w:rFonts w:ascii="Arial" w:hAnsi="Arial" w:hint="default"/>
        <w:b w:val="0"/>
        <w:i/>
        <w:sz w:val="19"/>
      </w:rPr>
    </w:lvl>
    <w:lvl w:ilvl="5">
      <w:start w:val="1"/>
      <w:numFmt w:val="decimal"/>
      <w:lvlText w:val="%6.%1.%2.%3.%4.%5"/>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DBE2AE2"/>
    <w:multiLevelType w:val="multilevel"/>
    <w:tmpl w:val="21F2C6F6"/>
    <w:lvl w:ilvl="0">
      <w:start w:val="1"/>
      <w:numFmt w:val="decimal"/>
      <w:lvlText w:val="%1"/>
      <w:lvlJc w:val="left"/>
      <w:pPr>
        <w:ind w:left="360" w:hanging="360"/>
      </w:pPr>
      <w:rPr>
        <w:rFonts w:ascii="Arial" w:hAnsi="Arial" w:hint="default"/>
        <w:b/>
        <w:i w:val="0"/>
        <w:sz w:val="19"/>
      </w:rPr>
    </w:lvl>
    <w:lvl w:ilvl="1">
      <w:start w:val="1"/>
      <w:numFmt w:val="decimal"/>
      <w:lvlText w:val="%1.%2"/>
      <w:lvlJc w:val="left"/>
      <w:pPr>
        <w:ind w:left="720" w:hanging="360"/>
      </w:pPr>
      <w:rPr>
        <w:rFonts w:ascii="Arial" w:hAnsi="Arial" w:hint="default"/>
        <w:b w:val="0"/>
        <w:i w:val="0"/>
        <w:sz w:val="19"/>
      </w:rPr>
    </w:lvl>
    <w:lvl w:ilvl="2">
      <w:start w:val="1"/>
      <w:numFmt w:val="decimal"/>
      <w:lvlText w:val="%1.%2.%3"/>
      <w:lvlJc w:val="left"/>
      <w:pPr>
        <w:ind w:left="1080" w:hanging="360"/>
      </w:pPr>
      <w:rPr>
        <w:rFonts w:ascii="Arial" w:hAnsi="Arial" w:hint="default"/>
        <w:b w:val="0"/>
        <w:i w:val="0"/>
        <w:sz w:val="19"/>
      </w:rPr>
    </w:lvl>
    <w:lvl w:ilvl="3">
      <w:start w:val="1"/>
      <w:numFmt w:val="decimal"/>
      <w:lvlText w:val="%2.%1.%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0AC23BE"/>
    <w:multiLevelType w:val="multilevel"/>
    <w:tmpl w:val="F1B8D81C"/>
    <w:lvl w:ilvl="0">
      <w:start w:val="1"/>
      <w:numFmt w:val="decimal"/>
      <w:lvlText w:val="%1"/>
      <w:lvlJc w:val="left"/>
      <w:pPr>
        <w:ind w:left="360" w:hanging="360"/>
      </w:pPr>
      <w:rPr>
        <w:rFonts w:ascii="Arial" w:hAnsi="Arial" w:hint="default"/>
        <w:b/>
        <w:i w:val="0"/>
        <w:sz w:val="19"/>
      </w:rPr>
    </w:lvl>
    <w:lvl w:ilvl="1">
      <w:start w:val="1"/>
      <w:numFmt w:val="decimal"/>
      <w:lvlText w:val="%2.%1"/>
      <w:lvlJc w:val="left"/>
      <w:pPr>
        <w:ind w:left="720" w:hanging="360"/>
      </w:pPr>
      <w:rPr>
        <w:rFonts w:ascii="Arial" w:hAnsi="Arial" w:hint="default"/>
        <w:b w:val="0"/>
        <w:i w:val="0"/>
        <w:sz w:val="19"/>
      </w:rPr>
    </w:lvl>
    <w:lvl w:ilvl="2">
      <w:start w:val="1"/>
      <w:numFmt w:val="decimal"/>
      <w:lvlText w:val="%2.%1.%3"/>
      <w:lvlJc w:val="left"/>
      <w:pPr>
        <w:ind w:left="1080" w:hanging="360"/>
      </w:pPr>
      <w:rPr>
        <w:rFonts w:ascii="Arial" w:hAnsi="Arial" w:hint="default"/>
        <w:b w:val="0"/>
        <w:i w:val="0"/>
        <w:sz w:val="19"/>
      </w:rPr>
    </w:lvl>
    <w:lvl w:ilvl="3">
      <w:start w:val="1"/>
      <w:numFmt w:val="decimal"/>
      <w:lvlText w:val="%2.%1.%3.%4"/>
      <w:lvlJc w:val="left"/>
      <w:pPr>
        <w:ind w:left="1440" w:hanging="360"/>
      </w:pPr>
      <w:rPr>
        <w:rFonts w:ascii="Arial" w:hAnsi="Arial" w:hint="default"/>
        <w:b w:val="0"/>
        <w:i w:val="0"/>
        <w:sz w:val="19"/>
      </w:rPr>
    </w:lvl>
    <w:lvl w:ilvl="4">
      <w:start w:val="1"/>
      <w:numFmt w:val="decimal"/>
      <w:lvlText w:val="%5.%1.%2.%3.%4"/>
      <w:lvlJc w:val="left"/>
      <w:pPr>
        <w:ind w:left="1800" w:hanging="360"/>
      </w:pPr>
      <w:rPr>
        <w:rFonts w:ascii="Arial" w:hAnsi="Arial" w:hint="default"/>
        <w:b w:val="0"/>
        <w:i/>
        <w:sz w:val="19"/>
      </w:rPr>
    </w:lvl>
    <w:lvl w:ilvl="5">
      <w:start w:val="1"/>
      <w:numFmt w:val="decimal"/>
      <w:lvlText w:val="%6.%1.%2.%3.%4.%5"/>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16E2CB7"/>
    <w:multiLevelType w:val="multilevel"/>
    <w:tmpl w:val="DAFEFA5A"/>
    <w:lvl w:ilvl="0">
      <w:start w:val="1"/>
      <w:numFmt w:val="decimal"/>
      <w:lvlText w:val="%1"/>
      <w:lvlJc w:val="left"/>
      <w:pPr>
        <w:ind w:left="432" w:hanging="432"/>
      </w:pPr>
      <w:rPr>
        <w:rFonts w:ascii="Times New Roman" w:hAnsi="Times New Roman" w:hint="default"/>
        <w:b w:val="0"/>
        <w:i w:val="0"/>
        <w:color w:val="002776"/>
        <w:sz w:val="60"/>
      </w:rPr>
    </w:lvl>
    <w:lvl w:ilvl="1">
      <w:start w:val="1"/>
      <w:numFmt w:val="decimal"/>
      <w:lvlText w:val="%1.%2"/>
      <w:lvlJc w:val="left"/>
      <w:pPr>
        <w:ind w:left="576" w:hanging="576"/>
      </w:pPr>
      <w:rPr>
        <w:rFonts w:ascii="Arial" w:hAnsi="Arial" w:hint="default"/>
        <w:b/>
        <w:i w:val="0"/>
        <w:color w:val="92D400"/>
        <w:sz w:val="24"/>
      </w:rPr>
    </w:lvl>
    <w:lvl w:ilvl="2">
      <w:start w:val="1"/>
      <w:numFmt w:val="decimal"/>
      <w:lvlText w:val="%1.%2.%3"/>
      <w:lvlJc w:val="left"/>
      <w:pPr>
        <w:ind w:left="720" w:hanging="720"/>
      </w:pPr>
      <w:rPr>
        <w:rFonts w:ascii="Arial" w:hAnsi="Arial" w:hint="default"/>
        <w:b/>
        <w:i w:val="0"/>
        <w:color w:val="3C8A2E"/>
        <w:sz w:val="24"/>
      </w:rPr>
    </w:lvl>
    <w:lvl w:ilvl="3">
      <w:start w:val="1"/>
      <w:numFmt w:val="decimal"/>
      <w:lvlText w:val="%1.%2.%3.%4"/>
      <w:lvlJc w:val="left"/>
      <w:pPr>
        <w:ind w:left="864" w:hanging="864"/>
      </w:pPr>
      <w:rPr>
        <w:rFonts w:ascii="Arial" w:hAnsi="Arial" w:hint="default"/>
        <w:b/>
        <w:i w:val="0"/>
        <w:color w:val="auto"/>
        <w:sz w:val="24"/>
      </w:rPr>
    </w:lvl>
    <w:lvl w:ilvl="4">
      <w:start w:val="1"/>
      <w:numFmt w:val="decimal"/>
      <w:lvlText w:val="%1.%2.%3.%4.%5"/>
      <w:lvlJc w:val="left"/>
      <w:pPr>
        <w:ind w:left="1008" w:hanging="1008"/>
      </w:pPr>
      <w:rPr>
        <w:rFonts w:ascii="Arial" w:hAnsi="Arial" w:hint="default"/>
        <w:b/>
        <w:i/>
        <w:color w:val="000000"/>
        <w:sz w:val="24"/>
      </w:rPr>
    </w:lvl>
    <w:lvl w:ilvl="5">
      <w:start w:val="1"/>
      <w:numFmt w:val="decimal"/>
      <w:lvlText w:val="%1.%2.%3.%4.%5.%6"/>
      <w:lvlJc w:val="left"/>
      <w:pPr>
        <w:ind w:left="1152" w:hanging="1152"/>
      </w:pPr>
      <w:rPr>
        <w:rFonts w:ascii="Arial" w:hAnsi="Arial" w:hint="default"/>
        <w:b w:val="0"/>
        <w:i/>
        <w:color w:val="auto"/>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562F0ADF"/>
    <w:multiLevelType w:val="multilevel"/>
    <w:tmpl w:val="7EECC8EA"/>
    <w:lvl w:ilvl="0">
      <w:start w:val="1"/>
      <w:numFmt w:val="decimal"/>
      <w:lvlText w:val="%1"/>
      <w:lvlJc w:val="left"/>
      <w:pPr>
        <w:ind w:left="360" w:hanging="360"/>
      </w:pPr>
      <w:rPr>
        <w:rFonts w:ascii="Arial" w:hAnsi="Arial" w:hint="default"/>
        <w:b/>
        <w:i w:val="0"/>
        <w:sz w:val="19"/>
      </w:rPr>
    </w:lvl>
    <w:lvl w:ilvl="1">
      <w:start w:val="1"/>
      <w:numFmt w:val="decimal"/>
      <w:lvlText w:val="%2.%1"/>
      <w:lvlJc w:val="left"/>
      <w:pPr>
        <w:ind w:left="720" w:hanging="360"/>
      </w:pPr>
      <w:rPr>
        <w:rFonts w:ascii="Arial" w:hAnsi="Arial" w:hint="default"/>
        <w:b w:val="0"/>
        <w:i w:val="0"/>
        <w:sz w:val="19"/>
      </w:rPr>
    </w:lvl>
    <w:lvl w:ilvl="2">
      <w:start w:val="1"/>
      <w:numFmt w:val="decimal"/>
      <w:lvlText w:val="%2.%1.%3"/>
      <w:lvlJc w:val="left"/>
      <w:pPr>
        <w:ind w:left="1080" w:hanging="360"/>
      </w:pPr>
      <w:rPr>
        <w:rFonts w:ascii="Arial" w:hAnsi="Arial" w:hint="default"/>
        <w:b w:val="0"/>
        <w:i w:val="0"/>
        <w:sz w:val="19"/>
      </w:rPr>
    </w:lvl>
    <w:lvl w:ilvl="3">
      <w:start w:val="1"/>
      <w:numFmt w:val="decimal"/>
      <w:lvlText w:val="%2.%1.%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9931C44"/>
    <w:multiLevelType w:val="multilevel"/>
    <w:tmpl w:val="DB54DB1C"/>
    <w:lvl w:ilvl="0">
      <w:start w:val="1"/>
      <w:numFmt w:val="decimal"/>
      <w:lvlText w:val="%1"/>
      <w:lvlJc w:val="left"/>
      <w:pPr>
        <w:ind w:left="360" w:hanging="360"/>
      </w:pPr>
      <w:rPr>
        <w:rFonts w:ascii="Arial" w:hAnsi="Arial" w:hint="default"/>
        <w:b/>
        <w:i w:val="0"/>
        <w:sz w:val="19"/>
      </w:rPr>
    </w:lvl>
    <w:lvl w:ilvl="1">
      <w:start w:val="1"/>
      <w:numFmt w:val="decimal"/>
      <w:lvlText w:val="%2.%1"/>
      <w:lvlJc w:val="left"/>
      <w:pPr>
        <w:ind w:left="720" w:hanging="360"/>
      </w:pPr>
      <w:rPr>
        <w:rFonts w:ascii="Arial" w:hAnsi="Arial" w:hint="default"/>
        <w:b w:val="0"/>
        <w:i w:val="0"/>
        <w:sz w:val="19"/>
      </w:rPr>
    </w:lvl>
    <w:lvl w:ilvl="2">
      <w:start w:val="1"/>
      <w:numFmt w:val="decimal"/>
      <w:lvlText w:val="%2%1%3"/>
      <w:lvlJc w:val="left"/>
      <w:pPr>
        <w:ind w:left="1080" w:hanging="360"/>
      </w:pPr>
      <w:rPr>
        <w:rFonts w:ascii="Arial" w:hAnsi="Arial" w:hint="default"/>
        <w:b w:val="0"/>
        <w:i w:val="0"/>
        <w:sz w:val="19"/>
      </w:rPr>
    </w:lvl>
    <w:lvl w:ilvl="3">
      <w:start w:val="1"/>
      <w:numFmt w:val="decimal"/>
      <w:lvlText w:val="%2.%1.%3.%4"/>
      <w:lvlJc w:val="left"/>
      <w:pPr>
        <w:ind w:left="1440" w:hanging="360"/>
      </w:pPr>
      <w:rPr>
        <w:rFonts w:ascii="Arial" w:hAnsi="Arial" w:hint="default"/>
        <w:b w:val="0"/>
        <w:i w:val="0"/>
        <w:sz w:val="19"/>
      </w:rPr>
    </w:lvl>
    <w:lvl w:ilvl="4">
      <w:start w:val="1"/>
      <w:numFmt w:val="decimal"/>
      <w:lvlText w:val="%5.%1.%2.%3.%4"/>
      <w:lvlJc w:val="left"/>
      <w:pPr>
        <w:ind w:left="1800" w:hanging="360"/>
      </w:pPr>
      <w:rPr>
        <w:rFonts w:ascii="Arial" w:hAnsi="Arial" w:hint="default"/>
        <w:b w:val="0"/>
        <w:i/>
        <w:sz w:val="19"/>
      </w:rPr>
    </w:lvl>
    <w:lvl w:ilvl="5">
      <w:start w:val="1"/>
      <w:numFmt w:val="decimal"/>
      <w:lvlText w:val="%6.%1.%2.%3.%4.%5"/>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F9B1B44"/>
    <w:multiLevelType w:val="multilevel"/>
    <w:tmpl w:val="C5106E7A"/>
    <w:lvl w:ilvl="0">
      <w:start w:val="1"/>
      <w:numFmt w:val="decimal"/>
      <w:lvlText w:val="%1"/>
      <w:lvlJc w:val="left"/>
      <w:pPr>
        <w:ind w:left="360" w:hanging="360"/>
      </w:pPr>
      <w:rPr>
        <w:rFonts w:ascii="Arial" w:hAnsi="Arial" w:hint="default"/>
        <w:b/>
        <w:i w:val="0"/>
        <w:sz w:val="19"/>
      </w:rPr>
    </w:lvl>
    <w:lvl w:ilvl="1">
      <w:start w:val="1"/>
      <w:numFmt w:val="decimal"/>
      <w:lvlText w:val="%2.%1"/>
      <w:lvlJc w:val="left"/>
      <w:pPr>
        <w:ind w:left="720" w:hanging="360"/>
      </w:pPr>
      <w:rPr>
        <w:rFonts w:ascii="Arial" w:hAnsi="Arial" w:hint="default"/>
        <w:b w:val="0"/>
        <w:i w:val="0"/>
        <w:sz w:val="19"/>
      </w:rPr>
    </w:lvl>
    <w:lvl w:ilvl="2">
      <w:start w:val="1"/>
      <w:numFmt w:val="decimal"/>
      <w:lvlText w:val="%2.%1.%3"/>
      <w:lvlJc w:val="left"/>
      <w:pPr>
        <w:ind w:left="1080" w:hanging="360"/>
      </w:pPr>
      <w:rPr>
        <w:rFonts w:ascii="Arial" w:hAnsi="Arial" w:hint="default"/>
        <w:b w:val="0"/>
        <w:i w:val="0"/>
        <w:sz w:val="19"/>
      </w:rPr>
    </w:lvl>
    <w:lvl w:ilvl="3">
      <w:start w:val="1"/>
      <w:numFmt w:val="decimal"/>
      <w:lvlText w:val="%2.%1.%3.%4"/>
      <w:lvlJc w:val="left"/>
      <w:pPr>
        <w:ind w:left="1440" w:hanging="360"/>
      </w:pPr>
      <w:rPr>
        <w:rFonts w:ascii="Arial" w:hAnsi="Arial" w:hint="default"/>
        <w:b w:val="0"/>
        <w:i w:val="0"/>
        <w:sz w:val="19"/>
      </w:rPr>
    </w:lvl>
    <w:lvl w:ilvl="4">
      <w:start w:val="1"/>
      <w:numFmt w:val="decimal"/>
      <w:lvlText w:val="%2.%4.%3.%5.%1"/>
      <w:lvlJc w:val="left"/>
      <w:pPr>
        <w:ind w:left="1800" w:hanging="360"/>
      </w:pPr>
      <w:rPr>
        <w:rFonts w:ascii="Arial" w:hAnsi="Arial" w:hint="default"/>
        <w:b w:val="0"/>
        <w:i/>
        <w:sz w:val="19"/>
      </w:rPr>
    </w:lvl>
    <w:lvl w:ilvl="5">
      <w:start w:val="1"/>
      <w:numFmt w:val="decimal"/>
      <w:lvlText w:val="%2.%1.%3.%4.%5.%6"/>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2A4744F"/>
    <w:multiLevelType w:val="multilevel"/>
    <w:tmpl w:val="1054E2D0"/>
    <w:lvl w:ilvl="0">
      <w:start w:val="1"/>
      <w:numFmt w:val="decimal"/>
      <w:pStyle w:val="smlouvaheading1"/>
      <w:lvlText w:val="%1"/>
      <w:lvlJc w:val="left"/>
      <w:pPr>
        <w:ind w:left="360" w:hanging="360"/>
      </w:pPr>
      <w:rPr>
        <w:rFonts w:ascii="Arial" w:hAnsi="Arial" w:hint="default"/>
        <w:b/>
        <w:i w:val="0"/>
        <w:sz w:val="19"/>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34935A9"/>
    <w:multiLevelType w:val="hybridMultilevel"/>
    <w:tmpl w:val="FDAA157A"/>
    <w:lvl w:ilvl="0" w:tplc="C7907B0C">
      <w:start w:val="1"/>
      <w:numFmt w:val="bullet"/>
      <w:pStyle w:val="Bulletslevel1"/>
      <w:lvlText w:val=""/>
      <w:lvlJc w:val="left"/>
      <w:pPr>
        <w:ind w:left="720" w:hanging="360"/>
      </w:pPr>
      <w:rPr>
        <w:rFonts w:ascii="Symbol" w:hAnsi="Symbol" w:hint="default"/>
        <w:b w:val="0"/>
        <w:i w:val="0"/>
        <w:sz w:val="19"/>
      </w:rPr>
    </w:lvl>
    <w:lvl w:ilvl="1" w:tplc="E494AA28" w:tentative="1">
      <w:start w:val="1"/>
      <w:numFmt w:val="bullet"/>
      <w:lvlText w:val="o"/>
      <w:lvlJc w:val="left"/>
      <w:pPr>
        <w:ind w:left="1440" w:hanging="360"/>
      </w:pPr>
      <w:rPr>
        <w:rFonts w:ascii="Courier New" w:hAnsi="Courier New" w:cs="Courier New" w:hint="default"/>
      </w:rPr>
    </w:lvl>
    <w:lvl w:ilvl="2" w:tplc="41C6AC16" w:tentative="1">
      <w:start w:val="1"/>
      <w:numFmt w:val="bullet"/>
      <w:lvlText w:val=""/>
      <w:lvlJc w:val="left"/>
      <w:pPr>
        <w:ind w:left="2160" w:hanging="360"/>
      </w:pPr>
      <w:rPr>
        <w:rFonts w:ascii="Wingdings" w:hAnsi="Wingdings" w:hint="default"/>
      </w:rPr>
    </w:lvl>
    <w:lvl w:ilvl="3" w:tplc="35D0E930" w:tentative="1">
      <w:start w:val="1"/>
      <w:numFmt w:val="bullet"/>
      <w:lvlText w:val=""/>
      <w:lvlJc w:val="left"/>
      <w:pPr>
        <w:ind w:left="2880" w:hanging="360"/>
      </w:pPr>
      <w:rPr>
        <w:rFonts w:ascii="Symbol" w:hAnsi="Symbol" w:hint="default"/>
      </w:rPr>
    </w:lvl>
    <w:lvl w:ilvl="4" w:tplc="91143E2A" w:tentative="1">
      <w:start w:val="1"/>
      <w:numFmt w:val="bullet"/>
      <w:lvlText w:val="o"/>
      <w:lvlJc w:val="left"/>
      <w:pPr>
        <w:ind w:left="3600" w:hanging="360"/>
      </w:pPr>
      <w:rPr>
        <w:rFonts w:ascii="Courier New" w:hAnsi="Courier New" w:cs="Courier New" w:hint="default"/>
      </w:rPr>
    </w:lvl>
    <w:lvl w:ilvl="5" w:tplc="1D6C0EAC" w:tentative="1">
      <w:start w:val="1"/>
      <w:numFmt w:val="bullet"/>
      <w:lvlText w:val=""/>
      <w:lvlJc w:val="left"/>
      <w:pPr>
        <w:ind w:left="4320" w:hanging="360"/>
      </w:pPr>
      <w:rPr>
        <w:rFonts w:ascii="Wingdings" w:hAnsi="Wingdings" w:hint="default"/>
      </w:rPr>
    </w:lvl>
    <w:lvl w:ilvl="6" w:tplc="631C7E7A" w:tentative="1">
      <w:start w:val="1"/>
      <w:numFmt w:val="bullet"/>
      <w:lvlText w:val=""/>
      <w:lvlJc w:val="left"/>
      <w:pPr>
        <w:ind w:left="5040" w:hanging="360"/>
      </w:pPr>
      <w:rPr>
        <w:rFonts w:ascii="Symbol" w:hAnsi="Symbol" w:hint="default"/>
      </w:rPr>
    </w:lvl>
    <w:lvl w:ilvl="7" w:tplc="A0A442E6" w:tentative="1">
      <w:start w:val="1"/>
      <w:numFmt w:val="bullet"/>
      <w:lvlText w:val="o"/>
      <w:lvlJc w:val="left"/>
      <w:pPr>
        <w:ind w:left="5760" w:hanging="360"/>
      </w:pPr>
      <w:rPr>
        <w:rFonts w:ascii="Courier New" w:hAnsi="Courier New" w:cs="Courier New" w:hint="default"/>
      </w:rPr>
    </w:lvl>
    <w:lvl w:ilvl="8" w:tplc="E77C1AAE" w:tentative="1">
      <w:start w:val="1"/>
      <w:numFmt w:val="bullet"/>
      <w:lvlText w:val=""/>
      <w:lvlJc w:val="left"/>
      <w:pPr>
        <w:ind w:left="6480" w:hanging="360"/>
      </w:pPr>
      <w:rPr>
        <w:rFonts w:ascii="Wingdings" w:hAnsi="Wingdings" w:hint="default"/>
      </w:rPr>
    </w:lvl>
  </w:abstractNum>
  <w:abstractNum w:abstractNumId="30">
    <w:nsid w:val="6F7655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2F43DB0"/>
    <w:multiLevelType w:val="hybridMultilevel"/>
    <w:tmpl w:val="8D324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8922BA"/>
    <w:multiLevelType w:val="multilevel"/>
    <w:tmpl w:val="4AD42D34"/>
    <w:lvl w:ilvl="0">
      <w:start w:val="1"/>
      <w:numFmt w:val="decimal"/>
      <w:lvlText w:val="%1"/>
      <w:lvlJc w:val="left"/>
      <w:pPr>
        <w:ind w:left="360" w:hanging="360"/>
      </w:pPr>
      <w:rPr>
        <w:rFonts w:ascii="Arial" w:hAnsi="Arial" w:hint="default"/>
        <w:b/>
        <w:i w:val="0"/>
        <w:sz w:val="19"/>
      </w:rPr>
    </w:lvl>
    <w:lvl w:ilvl="1">
      <w:start w:val="1"/>
      <w:numFmt w:val="decimal"/>
      <w:lvlText w:val="%2.%1"/>
      <w:lvlJc w:val="left"/>
      <w:pPr>
        <w:ind w:left="720" w:hanging="360"/>
      </w:pPr>
      <w:rPr>
        <w:rFonts w:ascii="Arial" w:hAnsi="Arial" w:hint="default"/>
        <w:b w:val="0"/>
        <w:i w:val="0"/>
        <w:sz w:val="19"/>
      </w:rPr>
    </w:lvl>
    <w:lvl w:ilvl="2">
      <w:start w:val="1"/>
      <w:numFmt w:val="decimal"/>
      <w:lvlText w:val="%2%1%3"/>
      <w:lvlJc w:val="left"/>
      <w:pPr>
        <w:ind w:left="1080" w:hanging="360"/>
      </w:pPr>
      <w:rPr>
        <w:rFonts w:ascii="Arial" w:hAnsi="Arial" w:hint="default"/>
        <w:b w:val="0"/>
        <w:i w:val="0"/>
        <w:sz w:val="19"/>
      </w:rPr>
    </w:lvl>
    <w:lvl w:ilvl="3">
      <w:start w:val="1"/>
      <w:numFmt w:val="decimal"/>
      <w:lvlText w:val="%4%1%2%3"/>
      <w:lvlJc w:val="left"/>
      <w:pPr>
        <w:ind w:left="1440" w:hanging="360"/>
      </w:pPr>
      <w:rPr>
        <w:rFonts w:ascii="Arial" w:hAnsi="Arial" w:hint="default"/>
        <w:b w:val="0"/>
        <w:i w:val="0"/>
        <w:sz w:val="19"/>
      </w:rPr>
    </w:lvl>
    <w:lvl w:ilvl="4">
      <w:start w:val="1"/>
      <w:numFmt w:val="decimal"/>
      <w:lvlText w:val="%5.%1.%2.%3.%4"/>
      <w:lvlJc w:val="left"/>
      <w:pPr>
        <w:ind w:left="1800" w:hanging="360"/>
      </w:pPr>
      <w:rPr>
        <w:rFonts w:ascii="Arial" w:hAnsi="Arial" w:hint="default"/>
        <w:b w:val="0"/>
        <w:i/>
        <w:sz w:val="19"/>
      </w:rPr>
    </w:lvl>
    <w:lvl w:ilvl="5">
      <w:start w:val="1"/>
      <w:numFmt w:val="decimal"/>
      <w:lvlText w:val="%6.%1.%2.%3.%4.%5"/>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0"/>
  </w:num>
  <w:num w:numId="2">
    <w:abstractNumId w:val="9"/>
  </w:num>
  <w:num w:numId="3">
    <w:abstractNumId w:val="7"/>
  </w:num>
  <w:num w:numId="4">
    <w:abstractNumId w:val="29"/>
  </w:num>
  <w:num w:numId="5">
    <w:abstractNumId w:val="16"/>
  </w:num>
  <w:num w:numId="6">
    <w:abstractNumId w:val="18"/>
  </w:num>
  <w:num w:numId="7">
    <w:abstractNumId w:val="24"/>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0"/>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9"/>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32"/>
  </w:num>
  <w:num w:numId="25">
    <w:abstractNumId w:val="21"/>
  </w:num>
  <w:num w:numId="26">
    <w:abstractNumId w:val="26"/>
  </w:num>
  <w:num w:numId="27">
    <w:abstractNumId w:val="23"/>
  </w:num>
  <w:num w:numId="28">
    <w:abstractNumId w:val="17"/>
  </w:num>
  <w:num w:numId="29">
    <w:abstractNumId w:val="27"/>
  </w:num>
  <w:num w:numId="30">
    <w:abstractNumId w:val="25"/>
  </w:num>
  <w:num w:numId="31">
    <w:abstractNumId w:val="14"/>
  </w:num>
  <w:num w:numId="32">
    <w:abstractNumId w:val="22"/>
  </w:num>
  <w:num w:numId="33">
    <w:abstractNumId w:val="28"/>
  </w:num>
  <w:num w:numId="34">
    <w:abstractNumId w:val="13"/>
  </w:num>
  <w:num w:numId="35">
    <w:abstractNumId w:val="11"/>
  </w:num>
  <w:num w:numId="36">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95"/>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1F4"/>
    <w:rsid w:val="000016A5"/>
    <w:rsid w:val="000077E7"/>
    <w:rsid w:val="00020A5B"/>
    <w:rsid w:val="000218D3"/>
    <w:rsid w:val="0002262B"/>
    <w:rsid w:val="00030C5B"/>
    <w:rsid w:val="00044ECA"/>
    <w:rsid w:val="00054A10"/>
    <w:rsid w:val="00055CB7"/>
    <w:rsid w:val="00070FC4"/>
    <w:rsid w:val="000731C7"/>
    <w:rsid w:val="00074D2F"/>
    <w:rsid w:val="0007511F"/>
    <w:rsid w:val="0007555C"/>
    <w:rsid w:val="00075B49"/>
    <w:rsid w:val="00075C1E"/>
    <w:rsid w:val="000817D9"/>
    <w:rsid w:val="00081A44"/>
    <w:rsid w:val="00082332"/>
    <w:rsid w:val="00082C00"/>
    <w:rsid w:val="0008794A"/>
    <w:rsid w:val="000923B1"/>
    <w:rsid w:val="00095956"/>
    <w:rsid w:val="000A25AE"/>
    <w:rsid w:val="000A3642"/>
    <w:rsid w:val="000B024D"/>
    <w:rsid w:val="000B7751"/>
    <w:rsid w:val="000C07D2"/>
    <w:rsid w:val="000C5CCC"/>
    <w:rsid w:val="000D0CBA"/>
    <w:rsid w:val="000D54BD"/>
    <w:rsid w:val="000D54E4"/>
    <w:rsid w:val="000D7DB9"/>
    <w:rsid w:val="000F16B5"/>
    <w:rsid w:val="00100113"/>
    <w:rsid w:val="001079B2"/>
    <w:rsid w:val="0011692E"/>
    <w:rsid w:val="001206DF"/>
    <w:rsid w:val="0012125D"/>
    <w:rsid w:val="0012336B"/>
    <w:rsid w:val="00134BE2"/>
    <w:rsid w:val="00137B33"/>
    <w:rsid w:val="00143AD7"/>
    <w:rsid w:val="001452B6"/>
    <w:rsid w:val="00146C58"/>
    <w:rsid w:val="00167276"/>
    <w:rsid w:val="00173365"/>
    <w:rsid w:val="00174AFE"/>
    <w:rsid w:val="00182989"/>
    <w:rsid w:val="00182C05"/>
    <w:rsid w:val="00190CFD"/>
    <w:rsid w:val="00192648"/>
    <w:rsid w:val="0019332A"/>
    <w:rsid w:val="001954F0"/>
    <w:rsid w:val="001960EF"/>
    <w:rsid w:val="001A0878"/>
    <w:rsid w:val="001A19F7"/>
    <w:rsid w:val="001A3801"/>
    <w:rsid w:val="001A4E24"/>
    <w:rsid w:val="001B6B68"/>
    <w:rsid w:val="001B6E17"/>
    <w:rsid w:val="001B7B04"/>
    <w:rsid w:val="001C0FA8"/>
    <w:rsid w:val="001C2EF4"/>
    <w:rsid w:val="001C3713"/>
    <w:rsid w:val="001D055E"/>
    <w:rsid w:val="001D10F5"/>
    <w:rsid w:val="001F0C13"/>
    <w:rsid w:val="001F48CE"/>
    <w:rsid w:val="001F5B88"/>
    <w:rsid w:val="001F661B"/>
    <w:rsid w:val="001F6FBB"/>
    <w:rsid w:val="00200DD2"/>
    <w:rsid w:val="002066F3"/>
    <w:rsid w:val="00207FCC"/>
    <w:rsid w:val="00210E5E"/>
    <w:rsid w:val="00213203"/>
    <w:rsid w:val="0021377D"/>
    <w:rsid w:val="0022508F"/>
    <w:rsid w:val="00226BC0"/>
    <w:rsid w:val="002316E8"/>
    <w:rsid w:val="00235D74"/>
    <w:rsid w:val="00236144"/>
    <w:rsid w:val="00242E45"/>
    <w:rsid w:val="0024576C"/>
    <w:rsid w:val="0024717F"/>
    <w:rsid w:val="00254616"/>
    <w:rsid w:val="002557C9"/>
    <w:rsid w:val="00260A1D"/>
    <w:rsid w:val="00260FD7"/>
    <w:rsid w:val="00272EE5"/>
    <w:rsid w:val="00274E01"/>
    <w:rsid w:val="00283A22"/>
    <w:rsid w:val="00285431"/>
    <w:rsid w:val="002854B8"/>
    <w:rsid w:val="00295C80"/>
    <w:rsid w:val="002A053C"/>
    <w:rsid w:val="002A2D62"/>
    <w:rsid w:val="002A7CFE"/>
    <w:rsid w:val="002C7BBD"/>
    <w:rsid w:val="002D2D07"/>
    <w:rsid w:val="002D5FCD"/>
    <w:rsid w:val="002D7602"/>
    <w:rsid w:val="002E32BC"/>
    <w:rsid w:val="002E4F4C"/>
    <w:rsid w:val="002E656D"/>
    <w:rsid w:val="002F6A10"/>
    <w:rsid w:val="0030330E"/>
    <w:rsid w:val="003038D5"/>
    <w:rsid w:val="003043F5"/>
    <w:rsid w:val="00305CC8"/>
    <w:rsid w:val="00313378"/>
    <w:rsid w:val="0031390F"/>
    <w:rsid w:val="0031599A"/>
    <w:rsid w:val="00320DC1"/>
    <w:rsid w:val="00325965"/>
    <w:rsid w:val="00327ABA"/>
    <w:rsid w:val="00335A52"/>
    <w:rsid w:val="00341787"/>
    <w:rsid w:val="00343030"/>
    <w:rsid w:val="00350A5C"/>
    <w:rsid w:val="00352EFA"/>
    <w:rsid w:val="003530AF"/>
    <w:rsid w:val="00360EB6"/>
    <w:rsid w:val="00367321"/>
    <w:rsid w:val="00367A36"/>
    <w:rsid w:val="003735F6"/>
    <w:rsid w:val="00375271"/>
    <w:rsid w:val="00376479"/>
    <w:rsid w:val="00392F8B"/>
    <w:rsid w:val="00392FE4"/>
    <w:rsid w:val="00394C79"/>
    <w:rsid w:val="003A1398"/>
    <w:rsid w:val="003A19B2"/>
    <w:rsid w:val="003A314C"/>
    <w:rsid w:val="003A583F"/>
    <w:rsid w:val="003C05CF"/>
    <w:rsid w:val="003C3806"/>
    <w:rsid w:val="003D36B5"/>
    <w:rsid w:val="003D424B"/>
    <w:rsid w:val="003D6630"/>
    <w:rsid w:val="003E0642"/>
    <w:rsid w:val="003F22DC"/>
    <w:rsid w:val="003F2C48"/>
    <w:rsid w:val="0040246A"/>
    <w:rsid w:val="00402DEA"/>
    <w:rsid w:val="0040322F"/>
    <w:rsid w:val="004040B0"/>
    <w:rsid w:val="004169EC"/>
    <w:rsid w:val="0042148A"/>
    <w:rsid w:val="0042159C"/>
    <w:rsid w:val="004257D7"/>
    <w:rsid w:val="0042755E"/>
    <w:rsid w:val="004338E2"/>
    <w:rsid w:val="004358C4"/>
    <w:rsid w:val="00441746"/>
    <w:rsid w:val="00441948"/>
    <w:rsid w:val="00450F0A"/>
    <w:rsid w:val="00452213"/>
    <w:rsid w:val="004573AD"/>
    <w:rsid w:val="00460483"/>
    <w:rsid w:val="0046267B"/>
    <w:rsid w:val="00467F0C"/>
    <w:rsid w:val="00474A90"/>
    <w:rsid w:val="004839FD"/>
    <w:rsid w:val="00490277"/>
    <w:rsid w:val="00496B11"/>
    <w:rsid w:val="00496CE1"/>
    <w:rsid w:val="004A531E"/>
    <w:rsid w:val="004A6C86"/>
    <w:rsid w:val="004B089F"/>
    <w:rsid w:val="004B24C1"/>
    <w:rsid w:val="004B4FFD"/>
    <w:rsid w:val="004B67CC"/>
    <w:rsid w:val="004C1DE0"/>
    <w:rsid w:val="004C4830"/>
    <w:rsid w:val="004E00DF"/>
    <w:rsid w:val="004E38A2"/>
    <w:rsid w:val="004F45AE"/>
    <w:rsid w:val="00503607"/>
    <w:rsid w:val="00505907"/>
    <w:rsid w:val="00505B2F"/>
    <w:rsid w:val="00532D0A"/>
    <w:rsid w:val="00533052"/>
    <w:rsid w:val="00535F7A"/>
    <w:rsid w:val="00551972"/>
    <w:rsid w:val="00554DC0"/>
    <w:rsid w:val="00565D4E"/>
    <w:rsid w:val="005726F2"/>
    <w:rsid w:val="0057284A"/>
    <w:rsid w:val="00582B72"/>
    <w:rsid w:val="00584F44"/>
    <w:rsid w:val="00586E04"/>
    <w:rsid w:val="00591C79"/>
    <w:rsid w:val="005936FF"/>
    <w:rsid w:val="00594D75"/>
    <w:rsid w:val="005956D3"/>
    <w:rsid w:val="00597B72"/>
    <w:rsid w:val="005B4CAD"/>
    <w:rsid w:val="005B5B20"/>
    <w:rsid w:val="005C57FE"/>
    <w:rsid w:val="005D1B30"/>
    <w:rsid w:val="005D5CD4"/>
    <w:rsid w:val="005D670E"/>
    <w:rsid w:val="005F0693"/>
    <w:rsid w:val="005F1143"/>
    <w:rsid w:val="00600A86"/>
    <w:rsid w:val="00604900"/>
    <w:rsid w:val="006074B0"/>
    <w:rsid w:val="00607AEF"/>
    <w:rsid w:val="00610E17"/>
    <w:rsid w:val="00624E99"/>
    <w:rsid w:val="006319DB"/>
    <w:rsid w:val="006328F5"/>
    <w:rsid w:val="00632FCD"/>
    <w:rsid w:val="006333DD"/>
    <w:rsid w:val="00634AEF"/>
    <w:rsid w:val="00656535"/>
    <w:rsid w:val="00657807"/>
    <w:rsid w:val="0066250C"/>
    <w:rsid w:val="00670284"/>
    <w:rsid w:val="00674377"/>
    <w:rsid w:val="006823B1"/>
    <w:rsid w:val="0068463D"/>
    <w:rsid w:val="006859B7"/>
    <w:rsid w:val="006918F8"/>
    <w:rsid w:val="00691A4B"/>
    <w:rsid w:val="006A09B7"/>
    <w:rsid w:val="006A198F"/>
    <w:rsid w:val="006A494E"/>
    <w:rsid w:val="006A5237"/>
    <w:rsid w:val="006B559F"/>
    <w:rsid w:val="006C296C"/>
    <w:rsid w:val="006C5CC7"/>
    <w:rsid w:val="006D02FC"/>
    <w:rsid w:val="006D1139"/>
    <w:rsid w:val="006D6107"/>
    <w:rsid w:val="006D7E4D"/>
    <w:rsid w:val="006E6392"/>
    <w:rsid w:val="006F2C90"/>
    <w:rsid w:val="006F3E0E"/>
    <w:rsid w:val="006F6C05"/>
    <w:rsid w:val="007021D8"/>
    <w:rsid w:val="00705604"/>
    <w:rsid w:val="00711003"/>
    <w:rsid w:val="007208A5"/>
    <w:rsid w:val="00726878"/>
    <w:rsid w:val="00726CE6"/>
    <w:rsid w:val="00726FE1"/>
    <w:rsid w:val="00741FBF"/>
    <w:rsid w:val="00750341"/>
    <w:rsid w:val="00755063"/>
    <w:rsid w:val="00757A85"/>
    <w:rsid w:val="00762348"/>
    <w:rsid w:val="00773FA9"/>
    <w:rsid w:val="00777B34"/>
    <w:rsid w:val="007800C7"/>
    <w:rsid w:val="00780401"/>
    <w:rsid w:val="0078250C"/>
    <w:rsid w:val="00783127"/>
    <w:rsid w:val="007877D4"/>
    <w:rsid w:val="00791B76"/>
    <w:rsid w:val="0079594D"/>
    <w:rsid w:val="007A1AEE"/>
    <w:rsid w:val="007A44D3"/>
    <w:rsid w:val="007B08C7"/>
    <w:rsid w:val="007B327C"/>
    <w:rsid w:val="007C2101"/>
    <w:rsid w:val="007D22CE"/>
    <w:rsid w:val="007D3B89"/>
    <w:rsid w:val="007D4777"/>
    <w:rsid w:val="007D536B"/>
    <w:rsid w:val="007F11EE"/>
    <w:rsid w:val="007F1223"/>
    <w:rsid w:val="008201A2"/>
    <w:rsid w:val="00824343"/>
    <w:rsid w:val="00827DE1"/>
    <w:rsid w:val="008315D5"/>
    <w:rsid w:val="008317DF"/>
    <w:rsid w:val="00835DCB"/>
    <w:rsid w:val="008458D6"/>
    <w:rsid w:val="00847CA7"/>
    <w:rsid w:val="008503A8"/>
    <w:rsid w:val="00854DDA"/>
    <w:rsid w:val="008561B0"/>
    <w:rsid w:val="00856B36"/>
    <w:rsid w:val="00860775"/>
    <w:rsid w:val="00875E04"/>
    <w:rsid w:val="00877F77"/>
    <w:rsid w:val="008849F5"/>
    <w:rsid w:val="00886A65"/>
    <w:rsid w:val="00892E7A"/>
    <w:rsid w:val="0089744E"/>
    <w:rsid w:val="008A6833"/>
    <w:rsid w:val="008B232F"/>
    <w:rsid w:val="008B2E3C"/>
    <w:rsid w:val="008B3AF0"/>
    <w:rsid w:val="008B3E76"/>
    <w:rsid w:val="008B4AC0"/>
    <w:rsid w:val="008C3FA4"/>
    <w:rsid w:val="008C4B47"/>
    <w:rsid w:val="008C5EDC"/>
    <w:rsid w:val="008E4E07"/>
    <w:rsid w:val="008E5EDD"/>
    <w:rsid w:val="008E6769"/>
    <w:rsid w:val="008E6948"/>
    <w:rsid w:val="008E79F1"/>
    <w:rsid w:val="008E7ED1"/>
    <w:rsid w:val="008F4C12"/>
    <w:rsid w:val="00901769"/>
    <w:rsid w:val="0090761C"/>
    <w:rsid w:val="00907754"/>
    <w:rsid w:val="0091097D"/>
    <w:rsid w:val="00911189"/>
    <w:rsid w:val="00915B95"/>
    <w:rsid w:val="0093353B"/>
    <w:rsid w:val="00935030"/>
    <w:rsid w:val="0093592A"/>
    <w:rsid w:val="009372E2"/>
    <w:rsid w:val="00940C72"/>
    <w:rsid w:val="00945EE3"/>
    <w:rsid w:val="00954C34"/>
    <w:rsid w:val="009561C1"/>
    <w:rsid w:val="00956973"/>
    <w:rsid w:val="00962584"/>
    <w:rsid w:val="00985962"/>
    <w:rsid w:val="009910E0"/>
    <w:rsid w:val="00991839"/>
    <w:rsid w:val="00992351"/>
    <w:rsid w:val="009A0F08"/>
    <w:rsid w:val="009A3540"/>
    <w:rsid w:val="009A6831"/>
    <w:rsid w:val="009B4766"/>
    <w:rsid w:val="009C02B0"/>
    <w:rsid w:val="009C2819"/>
    <w:rsid w:val="009C3EB5"/>
    <w:rsid w:val="009C71F4"/>
    <w:rsid w:val="009D7ED9"/>
    <w:rsid w:val="009E21D5"/>
    <w:rsid w:val="009F568A"/>
    <w:rsid w:val="00A01229"/>
    <w:rsid w:val="00A05EEA"/>
    <w:rsid w:val="00A0681B"/>
    <w:rsid w:val="00A06919"/>
    <w:rsid w:val="00A0750B"/>
    <w:rsid w:val="00A14155"/>
    <w:rsid w:val="00A16E01"/>
    <w:rsid w:val="00A22F23"/>
    <w:rsid w:val="00A23926"/>
    <w:rsid w:val="00A32459"/>
    <w:rsid w:val="00A36005"/>
    <w:rsid w:val="00A360EE"/>
    <w:rsid w:val="00A40230"/>
    <w:rsid w:val="00A44C6C"/>
    <w:rsid w:val="00A459D9"/>
    <w:rsid w:val="00A5193B"/>
    <w:rsid w:val="00A736C8"/>
    <w:rsid w:val="00A74ED5"/>
    <w:rsid w:val="00A81CF2"/>
    <w:rsid w:val="00A97651"/>
    <w:rsid w:val="00AA7FD7"/>
    <w:rsid w:val="00AB6A78"/>
    <w:rsid w:val="00AC045E"/>
    <w:rsid w:val="00AC292D"/>
    <w:rsid w:val="00AD41A1"/>
    <w:rsid w:val="00AE0D5E"/>
    <w:rsid w:val="00AE1D67"/>
    <w:rsid w:val="00AE5FAD"/>
    <w:rsid w:val="00AF0FBD"/>
    <w:rsid w:val="00B12600"/>
    <w:rsid w:val="00B136AA"/>
    <w:rsid w:val="00B16CC2"/>
    <w:rsid w:val="00B20785"/>
    <w:rsid w:val="00B219B5"/>
    <w:rsid w:val="00B22AEA"/>
    <w:rsid w:val="00B238EE"/>
    <w:rsid w:val="00B24464"/>
    <w:rsid w:val="00B25730"/>
    <w:rsid w:val="00B26AB7"/>
    <w:rsid w:val="00B26B5C"/>
    <w:rsid w:val="00B26F74"/>
    <w:rsid w:val="00B300FC"/>
    <w:rsid w:val="00B3675D"/>
    <w:rsid w:val="00B36F11"/>
    <w:rsid w:val="00B404A7"/>
    <w:rsid w:val="00B473AF"/>
    <w:rsid w:val="00B54FDB"/>
    <w:rsid w:val="00B56763"/>
    <w:rsid w:val="00B60C55"/>
    <w:rsid w:val="00B6269A"/>
    <w:rsid w:val="00B65ECE"/>
    <w:rsid w:val="00B670CC"/>
    <w:rsid w:val="00B8478F"/>
    <w:rsid w:val="00B84B7A"/>
    <w:rsid w:val="00B84E52"/>
    <w:rsid w:val="00BA62FD"/>
    <w:rsid w:val="00BB2B77"/>
    <w:rsid w:val="00BB3322"/>
    <w:rsid w:val="00BB45CE"/>
    <w:rsid w:val="00BB71C5"/>
    <w:rsid w:val="00BC3476"/>
    <w:rsid w:val="00BC75D1"/>
    <w:rsid w:val="00BE6734"/>
    <w:rsid w:val="00BF258F"/>
    <w:rsid w:val="00BF6DE2"/>
    <w:rsid w:val="00C01887"/>
    <w:rsid w:val="00C102EE"/>
    <w:rsid w:val="00C157AC"/>
    <w:rsid w:val="00C1787A"/>
    <w:rsid w:val="00C20009"/>
    <w:rsid w:val="00C240B4"/>
    <w:rsid w:val="00C4242C"/>
    <w:rsid w:val="00C444B3"/>
    <w:rsid w:val="00C4496F"/>
    <w:rsid w:val="00C45E0B"/>
    <w:rsid w:val="00C601FE"/>
    <w:rsid w:val="00C6038D"/>
    <w:rsid w:val="00C60815"/>
    <w:rsid w:val="00C608CB"/>
    <w:rsid w:val="00C755B5"/>
    <w:rsid w:val="00C75710"/>
    <w:rsid w:val="00C82F17"/>
    <w:rsid w:val="00C84FF9"/>
    <w:rsid w:val="00C977A2"/>
    <w:rsid w:val="00C97A0D"/>
    <w:rsid w:val="00CA01E2"/>
    <w:rsid w:val="00CA0E8F"/>
    <w:rsid w:val="00CB0293"/>
    <w:rsid w:val="00CB1F1E"/>
    <w:rsid w:val="00CB40D6"/>
    <w:rsid w:val="00CB5FC1"/>
    <w:rsid w:val="00CC076C"/>
    <w:rsid w:val="00CC08EE"/>
    <w:rsid w:val="00CC22F1"/>
    <w:rsid w:val="00CC7E81"/>
    <w:rsid w:val="00CD24FE"/>
    <w:rsid w:val="00CD43CF"/>
    <w:rsid w:val="00CD44BA"/>
    <w:rsid w:val="00CD7E26"/>
    <w:rsid w:val="00CE00BE"/>
    <w:rsid w:val="00CF74F9"/>
    <w:rsid w:val="00CF7EDE"/>
    <w:rsid w:val="00D01380"/>
    <w:rsid w:val="00D1104D"/>
    <w:rsid w:val="00D13252"/>
    <w:rsid w:val="00D20751"/>
    <w:rsid w:val="00D30CBE"/>
    <w:rsid w:val="00D32C07"/>
    <w:rsid w:val="00D34C27"/>
    <w:rsid w:val="00D61EA3"/>
    <w:rsid w:val="00D63A6B"/>
    <w:rsid w:val="00D643A1"/>
    <w:rsid w:val="00D670F9"/>
    <w:rsid w:val="00D71FD6"/>
    <w:rsid w:val="00D75C7F"/>
    <w:rsid w:val="00D87110"/>
    <w:rsid w:val="00D93597"/>
    <w:rsid w:val="00DC652E"/>
    <w:rsid w:val="00DC6C4A"/>
    <w:rsid w:val="00DD1262"/>
    <w:rsid w:val="00DE0B0E"/>
    <w:rsid w:val="00DE2BB8"/>
    <w:rsid w:val="00DE50F2"/>
    <w:rsid w:val="00DF1310"/>
    <w:rsid w:val="00DF22A0"/>
    <w:rsid w:val="00DF5316"/>
    <w:rsid w:val="00E153F4"/>
    <w:rsid w:val="00E17392"/>
    <w:rsid w:val="00E23F79"/>
    <w:rsid w:val="00E2425D"/>
    <w:rsid w:val="00E25E6F"/>
    <w:rsid w:val="00E30DE5"/>
    <w:rsid w:val="00E3278D"/>
    <w:rsid w:val="00E41DC8"/>
    <w:rsid w:val="00E421C0"/>
    <w:rsid w:val="00E42428"/>
    <w:rsid w:val="00E42491"/>
    <w:rsid w:val="00E425C2"/>
    <w:rsid w:val="00E42B06"/>
    <w:rsid w:val="00E43950"/>
    <w:rsid w:val="00E47C63"/>
    <w:rsid w:val="00E54DFA"/>
    <w:rsid w:val="00E66BE2"/>
    <w:rsid w:val="00E70644"/>
    <w:rsid w:val="00E7164C"/>
    <w:rsid w:val="00E734A7"/>
    <w:rsid w:val="00E80635"/>
    <w:rsid w:val="00E8151A"/>
    <w:rsid w:val="00E91EAE"/>
    <w:rsid w:val="00EA4F22"/>
    <w:rsid w:val="00EB2B19"/>
    <w:rsid w:val="00EB4F9D"/>
    <w:rsid w:val="00EB5D85"/>
    <w:rsid w:val="00EB62F6"/>
    <w:rsid w:val="00EC01C2"/>
    <w:rsid w:val="00ED39F8"/>
    <w:rsid w:val="00ED6B25"/>
    <w:rsid w:val="00EE0B0C"/>
    <w:rsid w:val="00EE67A7"/>
    <w:rsid w:val="00EF265E"/>
    <w:rsid w:val="00EF5CE2"/>
    <w:rsid w:val="00F00235"/>
    <w:rsid w:val="00F06277"/>
    <w:rsid w:val="00F06DA9"/>
    <w:rsid w:val="00F1365B"/>
    <w:rsid w:val="00F1534D"/>
    <w:rsid w:val="00F1784D"/>
    <w:rsid w:val="00F17F4C"/>
    <w:rsid w:val="00F2181A"/>
    <w:rsid w:val="00F21EC8"/>
    <w:rsid w:val="00F2295B"/>
    <w:rsid w:val="00F23D01"/>
    <w:rsid w:val="00F26291"/>
    <w:rsid w:val="00F2676F"/>
    <w:rsid w:val="00F273F5"/>
    <w:rsid w:val="00F3349A"/>
    <w:rsid w:val="00F35321"/>
    <w:rsid w:val="00F37820"/>
    <w:rsid w:val="00F40C9F"/>
    <w:rsid w:val="00F42B3E"/>
    <w:rsid w:val="00F433F7"/>
    <w:rsid w:val="00F44A62"/>
    <w:rsid w:val="00F54F58"/>
    <w:rsid w:val="00F60038"/>
    <w:rsid w:val="00F62292"/>
    <w:rsid w:val="00F7523F"/>
    <w:rsid w:val="00F75592"/>
    <w:rsid w:val="00F85DDA"/>
    <w:rsid w:val="00F93335"/>
    <w:rsid w:val="00FA09FB"/>
    <w:rsid w:val="00FA71FC"/>
    <w:rsid w:val="00FB533A"/>
    <w:rsid w:val="00FC0F4F"/>
    <w:rsid w:val="00FC2858"/>
    <w:rsid w:val="00FC41B7"/>
    <w:rsid w:val="00FD0B08"/>
    <w:rsid w:val="00FE07E4"/>
    <w:rsid w:val="00FE4467"/>
    <w:rsid w:val="00FE46AF"/>
    <w:rsid w:val="00FE66C8"/>
    <w:rsid w:val="00FF0681"/>
    <w:rsid w:val="00FF444D"/>
    <w:rsid w:val="00FF58CF"/>
    <w:rsid w:val="00FF5F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721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lsdException w:name="Plain Tex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qFormat/>
    <w:rsid w:val="00F35321"/>
    <w:rPr>
      <w:rFonts w:ascii="Arial" w:hAnsi="Arial"/>
      <w:sz w:val="19"/>
      <w:szCs w:val="24"/>
    </w:rPr>
  </w:style>
  <w:style w:type="paragraph" w:styleId="Nadpis1">
    <w:name w:val="heading 1"/>
    <w:next w:val="Nadpis2"/>
    <w:link w:val="Nadpis1Char"/>
    <w:qFormat/>
    <w:rsid w:val="0002262B"/>
    <w:pPr>
      <w:numPr>
        <w:numId w:val="5"/>
      </w:numPr>
      <w:spacing w:after="240"/>
      <w:ind w:left="851" w:hanging="851"/>
      <w:outlineLvl w:val="0"/>
    </w:pPr>
    <w:rPr>
      <w:rFonts w:ascii="Times New Roman Bold" w:hAnsi="Times New Roman Bold" w:cs="Arial"/>
      <w:bCs/>
      <w:color w:val="002776"/>
      <w:kern w:val="32"/>
      <w:sz w:val="40"/>
      <w:szCs w:val="32"/>
    </w:rPr>
  </w:style>
  <w:style w:type="paragraph" w:styleId="Nadpis2">
    <w:name w:val="heading 2"/>
    <w:basedOn w:val="Nadpis1"/>
    <w:next w:val="Nadpis3"/>
    <w:qFormat/>
    <w:rsid w:val="00E421C0"/>
    <w:pPr>
      <w:numPr>
        <w:ilvl w:val="1"/>
      </w:numPr>
      <w:spacing w:before="240"/>
      <w:ind w:left="578" w:hanging="578"/>
      <w:outlineLvl w:val="1"/>
    </w:pPr>
    <w:rPr>
      <w:rFonts w:ascii="Arial" w:hAnsi="Arial"/>
      <w:b/>
      <w:bCs w:val="0"/>
      <w:iCs/>
      <w:color w:val="92D400" w:themeColor="accent2"/>
      <w:sz w:val="24"/>
      <w:szCs w:val="24"/>
    </w:rPr>
  </w:style>
  <w:style w:type="paragraph" w:styleId="Nadpis3">
    <w:name w:val="heading 3"/>
    <w:basedOn w:val="Nadpis2"/>
    <w:next w:val="Normln"/>
    <w:qFormat/>
    <w:rsid w:val="00E421C0"/>
    <w:pPr>
      <w:numPr>
        <w:ilvl w:val="2"/>
      </w:numPr>
      <w:outlineLvl w:val="2"/>
    </w:pPr>
    <w:rPr>
      <w:bCs/>
      <w:color w:val="3C8A2E" w:themeColor="accent5"/>
      <w:szCs w:val="26"/>
    </w:rPr>
  </w:style>
  <w:style w:type="paragraph" w:styleId="Nadpis4">
    <w:name w:val="heading 4"/>
    <w:basedOn w:val="Normln"/>
    <w:next w:val="Normln"/>
    <w:link w:val="Nadpis4Char"/>
    <w:unhideWhenUsed/>
    <w:qFormat/>
    <w:rsid w:val="0008794A"/>
    <w:pPr>
      <w:keepNext/>
      <w:keepLines/>
      <w:numPr>
        <w:ilvl w:val="3"/>
        <w:numId w:val="5"/>
      </w:numPr>
      <w:spacing w:before="240" w:after="240"/>
      <w:outlineLvl w:val="3"/>
    </w:pPr>
    <w:rPr>
      <w:rFonts w:eastAsiaTheme="majorEastAsia" w:cstheme="majorBidi"/>
      <w:b/>
      <w:bCs/>
      <w:iCs/>
      <w:sz w:val="24"/>
    </w:rPr>
  </w:style>
  <w:style w:type="paragraph" w:styleId="Nadpis5">
    <w:name w:val="heading 5"/>
    <w:basedOn w:val="Normln"/>
    <w:next w:val="Normln"/>
    <w:link w:val="Nadpis5Char"/>
    <w:unhideWhenUsed/>
    <w:qFormat/>
    <w:rsid w:val="0008794A"/>
    <w:pPr>
      <w:keepNext/>
      <w:keepLines/>
      <w:numPr>
        <w:ilvl w:val="4"/>
        <w:numId w:val="5"/>
      </w:numPr>
      <w:spacing w:before="240" w:after="240"/>
      <w:outlineLvl w:val="4"/>
    </w:pPr>
    <w:rPr>
      <w:rFonts w:eastAsiaTheme="majorEastAsia" w:cstheme="majorBidi"/>
      <w:b/>
      <w:i/>
      <w:color w:val="00133A" w:themeColor="accent1" w:themeShade="7F"/>
      <w:sz w:val="24"/>
    </w:rPr>
  </w:style>
  <w:style w:type="paragraph" w:styleId="Nadpis6">
    <w:name w:val="heading 6"/>
    <w:basedOn w:val="Normln"/>
    <w:next w:val="Normln"/>
    <w:link w:val="Nadpis6Char"/>
    <w:unhideWhenUsed/>
    <w:qFormat/>
    <w:rsid w:val="0008794A"/>
    <w:pPr>
      <w:keepNext/>
      <w:keepLines/>
      <w:numPr>
        <w:ilvl w:val="5"/>
        <w:numId w:val="5"/>
      </w:numPr>
      <w:spacing w:before="240" w:after="240"/>
      <w:ind w:left="1418" w:hanging="1418"/>
      <w:outlineLvl w:val="5"/>
    </w:pPr>
    <w:rPr>
      <w:rFonts w:eastAsiaTheme="majorEastAsia" w:cstheme="majorBidi"/>
      <w:i/>
      <w:iCs/>
      <w:color w:val="00133A" w:themeColor="accent1" w:themeShade="7F"/>
      <w:sz w:val="24"/>
    </w:rPr>
  </w:style>
  <w:style w:type="paragraph" w:styleId="Nadpis7">
    <w:name w:val="heading 7"/>
    <w:basedOn w:val="Normln"/>
    <w:next w:val="Normln"/>
    <w:link w:val="Nadpis7Char"/>
    <w:unhideWhenUsed/>
    <w:qFormat/>
    <w:rsid w:val="00E421C0"/>
    <w:pPr>
      <w:keepNext/>
      <w:keepLines/>
      <w:numPr>
        <w:ilvl w:val="6"/>
        <w:numId w:val="5"/>
      </w:numPr>
      <w:spacing w:before="240" w:after="240"/>
      <w:ind w:left="1576" w:hanging="1576"/>
      <w:outlineLvl w:val="6"/>
    </w:pPr>
    <w:rPr>
      <w:rFonts w:eastAsiaTheme="majorEastAsia" w:cstheme="majorBidi"/>
      <w:i/>
      <w:iCs/>
      <w:color w:val="404040" w:themeColor="text1" w:themeTint="BF"/>
      <w:sz w:val="22"/>
    </w:rPr>
  </w:style>
  <w:style w:type="paragraph" w:styleId="Nadpis8">
    <w:name w:val="heading 8"/>
    <w:basedOn w:val="Normln"/>
    <w:next w:val="Normln"/>
    <w:link w:val="Nadpis8Char"/>
    <w:semiHidden/>
    <w:unhideWhenUsed/>
    <w:qFormat/>
    <w:rsid w:val="00E421C0"/>
    <w:pPr>
      <w:keepNext/>
      <w:keepLines/>
      <w:numPr>
        <w:ilvl w:val="7"/>
        <w:numId w:val="5"/>
      </w:numPr>
      <w:spacing w:before="240" w:after="240"/>
      <w:ind w:left="1701" w:hanging="1701"/>
      <w:outlineLvl w:val="7"/>
    </w:pPr>
    <w:rPr>
      <w:rFonts w:eastAsiaTheme="majorEastAsia" w:cstheme="majorBidi"/>
      <w:i/>
      <w:color w:val="404040" w:themeColor="text1" w:themeTint="BF"/>
      <w:sz w:val="20"/>
      <w:szCs w:val="20"/>
    </w:rPr>
  </w:style>
  <w:style w:type="paragraph" w:styleId="Nadpis9">
    <w:name w:val="heading 9"/>
    <w:basedOn w:val="Normln"/>
    <w:next w:val="Normln"/>
    <w:link w:val="Nadpis9Char"/>
    <w:semiHidden/>
    <w:unhideWhenUsed/>
    <w:qFormat/>
    <w:rsid w:val="00E421C0"/>
    <w:pPr>
      <w:keepNext/>
      <w:keepLines/>
      <w:numPr>
        <w:ilvl w:val="8"/>
        <w:numId w:val="5"/>
      </w:numPr>
      <w:spacing w:before="240" w:after="240"/>
      <w:ind w:left="1985" w:hanging="1985"/>
      <w:outlineLvl w:val="8"/>
    </w:pPr>
    <w:rPr>
      <w:rFonts w:eastAsiaTheme="majorEastAsia" w:cstheme="majorBidi"/>
      <w:i/>
      <w:iCs/>
      <w:color w:val="404040" w:themeColor="text1" w:themeTint="BF"/>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aliases w:val="Deloitte table 3"/>
    <w:basedOn w:val="Normlntabulka"/>
    <w:rsid w:val="00A40230"/>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Zhlav">
    <w:name w:val="header"/>
    <w:basedOn w:val="Normln"/>
    <w:link w:val="ZhlavChar"/>
    <w:uiPriority w:val="99"/>
    <w:rsid w:val="00E421C0"/>
    <w:pPr>
      <w:tabs>
        <w:tab w:val="center" w:pos="4703"/>
        <w:tab w:val="right" w:pos="9406"/>
      </w:tabs>
    </w:pPr>
    <w:rPr>
      <w:sz w:val="16"/>
    </w:rPr>
  </w:style>
  <w:style w:type="paragraph" w:styleId="Zpat">
    <w:name w:val="footer"/>
    <w:basedOn w:val="Normln"/>
    <w:link w:val="ZpatChar"/>
    <w:rsid w:val="008C3FA4"/>
    <w:pPr>
      <w:tabs>
        <w:tab w:val="center" w:pos="4703"/>
        <w:tab w:val="right" w:pos="9406"/>
      </w:tabs>
    </w:pPr>
  </w:style>
  <w:style w:type="character" w:styleId="slostrnky">
    <w:name w:val="page number"/>
    <w:basedOn w:val="Standardnpsmoodstavce"/>
    <w:rsid w:val="00E421C0"/>
    <w:rPr>
      <w:rFonts w:ascii="Arial" w:hAnsi="Arial"/>
      <w:sz w:val="16"/>
    </w:rPr>
  </w:style>
  <w:style w:type="paragraph" w:styleId="Obsah1">
    <w:name w:val="toc 1"/>
    <w:basedOn w:val="Normln"/>
    <w:next w:val="Normln"/>
    <w:autoRedefine/>
    <w:uiPriority w:val="39"/>
    <w:rsid w:val="00D34C27"/>
    <w:pPr>
      <w:spacing w:after="240"/>
      <w:ind w:left="720" w:hanging="720"/>
    </w:pPr>
    <w:rPr>
      <w:sz w:val="24"/>
    </w:rPr>
  </w:style>
  <w:style w:type="paragraph" w:styleId="Obsah2">
    <w:name w:val="toc 2"/>
    <w:basedOn w:val="Normln"/>
    <w:next w:val="Normln"/>
    <w:autoRedefine/>
    <w:uiPriority w:val="39"/>
    <w:rsid w:val="00D34C27"/>
    <w:pPr>
      <w:spacing w:after="240"/>
      <w:ind w:left="958" w:hanging="720"/>
    </w:pPr>
    <w:rPr>
      <w:sz w:val="24"/>
    </w:rPr>
  </w:style>
  <w:style w:type="paragraph" w:styleId="Obsah3">
    <w:name w:val="toc 3"/>
    <w:basedOn w:val="Normln"/>
    <w:next w:val="Normln"/>
    <w:autoRedefine/>
    <w:uiPriority w:val="39"/>
    <w:rsid w:val="00D34C27"/>
    <w:pPr>
      <w:spacing w:after="240"/>
      <w:ind w:left="1202" w:hanging="720"/>
    </w:pPr>
    <w:rPr>
      <w:sz w:val="24"/>
    </w:rPr>
  </w:style>
  <w:style w:type="character" w:styleId="Hypertextovodkaz">
    <w:name w:val="Hyperlink"/>
    <w:basedOn w:val="Standardnpsmoodstavce"/>
    <w:rsid w:val="0089744E"/>
    <w:rPr>
      <w:rFonts w:ascii="Arial" w:hAnsi="Arial"/>
      <w:color w:val="00A1DE" w:themeColor="accent3"/>
      <w:sz w:val="19"/>
      <w:u w:val="single"/>
    </w:rPr>
  </w:style>
  <w:style w:type="paragraph" w:styleId="Textbubliny">
    <w:name w:val="Balloon Text"/>
    <w:basedOn w:val="Normln"/>
    <w:semiHidden/>
    <w:rsid w:val="00392FE4"/>
    <w:rPr>
      <w:rFonts w:ascii="Tahoma" w:hAnsi="Tahoma" w:cs="Tahoma"/>
      <w:sz w:val="16"/>
      <w:szCs w:val="16"/>
    </w:rPr>
  </w:style>
  <w:style w:type="character" w:customStyle="1" w:styleId="ZhlavChar">
    <w:name w:val="Záhlaví Char"/>
    <w:basedOn w:val="Standardnpsmoodstavce"/>
    <w:link w:val="Zhlav"/>
    <w:uiPriority w:val="99"/>
    <w:rsid w:val="00E421C0"/>
    <w:rPr>
      <w:rFonts w:ascii="Arial" w:hAnsi="Arial"/>
      <w:sz w:val="16"/>
      <w:szCs w:val="24"/>
    </w:rPr>
  </w:style>
  <w:style w:type="character" w:customStyle="1" w:styleId="ZpatChar">
    <w:name w:val="Zápatí Char"/>
    <w:basedOn w:val="Standardnpsmoodstavce"/>
    <w:link w:val="Zpat"/>
    <w:uiPriority w:val="99"/>
    <w:rsid w:val="004A531E"/>
    <w:rPr>
      <w:sz w:val="24"/>
      <w:szCs w:val="24"/>
    </w:rPr>
  </w:style>
  <w:style w:type="paragraph" w:customStyle="1" w:styleId="BodyText1">
    <w:name w:val="Body Text1"/>
    <w:qFormat/>
    <w:rsid w:val="00E42491"/>
    <w:rPr>
      <w:rFonts w:ascii="Arial" w:hAnsi="Arial"/>
      <w:color w:val="000000"/>
      <w:sz w:val="19"/>
      <w:szCs w:val="48"/>
      <w:lang w:val="cs-CZ"/>
    </w:rPr>
  </w:style>
  <w:style w:type="paragraph" w:customStyle="1" w:styleId="Legalentity">
    <w:name w:val="Legal entity"/>
    <w:basedOn w:val="Normln"/>
    <w:rsid w:val="00075C1E"/>
    <w:pPr>
      <w:widowControl w:val="0"/>
      <w:suppressAutoHyphens/>
      <w:autoSpaceDE w:val="0"/>
      <w:autoSpaceDN w:val="0"/>
      <w:adjustRightInd w:val="0"/>
      <w:spacing w:after="90" w:line="180" w:lineRule="atLeast"/>
      <w:textAlignment w:val="center"/>
    </w:pPr>
    <w:rPr>
      <w:color w:val="000000"/>
      <w:sz w:val="15"/>
      <w:szCs w:val="20"/>
      <w:lang w:val="en-GB" w:eastAsia="en-GB"/>
    </w:rPr>
  </w:style>
  <w:style w:type="paragraph" w:customStyle="1" w:styleId="smlouvaheading1">
    <w:name w:val="smlouva heading 1"/>
    <w:next w:val="BodyText1"/>
    <w:qFormat/>
    <w:rsid w:val="00705604"/>
    <w:pPr>
      <w:numPr>
        <w:numId w:val="33"/>
      </w:numPr>
      <w:tabs>
        <w:tab w:val="left" w:pos="357"/>
      </w:tabs>
      <w:spacing w:before="120" w:after="120"/>
      <w:ind w:left="357" w:hanging="357"/>
    </w:pPr>
    <w:rPr>
      <w:rFonts w:ascii="Arial" w:hAnsi="Arial"/>
      <w:b/>
      <w:noProof/>
      <w:color w:val="000000" w:themeColor="text1"/>
      <w:sz w:val="19"/>
      <w:szCs w:val="24"/>
      <w:lang w:val="cs-CZ"/>
    </w:rPr>
  </w:style>
  <w:style w:type="paragraph" w:customStyle="1" w:styleId="CaptionIntroductionparagraph">
    <w:name w:val="Caption Introduction paragraph"/>
    <w:qFormat/>
    <w:rsid w:val="007F11EE"/>
    <w:rPr>
      <w:rFonts w:ascii="Arial" w:hAnsi="Arial"/>
      <w:b/>
      <w:color w:val="00A1DE"/>
      <w:sz w:val="24"/>
      <w:szCs w:val="22"/>
      <w:lang w:val="cs-CZ"/>
    </w:rPr>
  </w:style>
  <w:style w:type="paragraph" w:customStyle="1" w:styleId="smlouvaheading2">
    <w:name w:val="smlouva heading 2"/>
    <w:basedOn w:val="CaptionIntroductionparagraph"/>
    <w:next w:val="BodyText1"/>
    <w:qFormat/>
    <w:rsid w:val="00705604"/>
    <w:pPr>
      <w:numPr>
        <w:ilvl w:val="1"/>
        <w:numId w:val="33"/>
      </w:numPr>
      <w:tabs>
        <w:tab w:val="left" w:pos="567"/>
      </w:tabs>
      <w:ind w:left="567" w:hanging="567"/>
    </w:pPr>
    <w:rPr>
      <w:b w:val="0"/>
      <w:color w:val="000000" w:themeColor="text1"/>
      <w:sz w:val="19"/>
    </w:rPr>
  </w:style>
  <w:style w:type="paragraph" w:customStyle="1" w:styleId="smlouvaheading3">
    <w:name w:val="smlouva heading 3"/>
    <w:basedOn w:val="smlouvaheading2"/>
    <w:next w:val="BodyText1"/>
    <w:qFormat/>
    <w:rsid w:val="00705604"/>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705604"/>
    <w:pPr>
      <w:numPr>
        <w:ilvl w:val="3"/>
      </w:numPr>
      <w:tabs>
        <w:tab w:val="clear" w:pos="794"/>
        <w:tab w:val="left" w:pos="1021"/>
      </w:tabs>
      <w:ind w:left="1021" w:hanging="1021"/>
    </w:pPr>
    <w:rPr>
      <w:color w:val="auto"/>
    </w:rPr>
  </w:style>
  <w:style w:type="paragraph" w:customStyle="1" w:styleId="smlouvabodytextbold">
    <w:name w:val="smlouva body text bold"/>
    <w:basedOn w:val="smlouvaheading4"/>
    <w:next w:val="BodyText1"/>
    <w:qFormat/>
    <w:rsid w:val="00F433F7"/>
    <w:pPr>
      <w:numPr>
        <w:ilvl w:val="0"/>
        <w:numId w:val="0"/>
      </w:numPr>
    </w:pPr>
    <w:rPr>
      <w:b/>
    </w:rPr>
  </w:style>
  <w:style w:type="paragraph" w:customStyle="1" w:styleId="Bodytextbold">
    <w:name w:val="Body text bold"/>
    <w:basedOn w:val="smlouvabodytextbold"/>
    <w:next w:val="BodyText1"/>
    <w:qFormat/>
    <w:rsid w:val="00075C1E"/>
    <w:pPr>
      <w:tabs>
        <w:tab w:val="clear" w:pos="1021"/>
        <w:tab w:val="left" w:pos="1134"/>
      </w:tabs>
    </w:pPr>
    <w:rPr>
      <w:color w:val="000000"/>
    </w:rPr>
  </w:style>
  <w:style w:type="character" w:customStyle="1" w:styleId="CaptionbodyChar">
    <w:name w:val="Caption body Char"/>
    <w:basedOn w:val="Standardnpsmoodstavce"/>
    <w:link w:val="Captionbody"/>
    <w:rsid w:val="005B4CAD"/>
    <w:rPr>
      <w:rFonts w:ascii="Arial" w:hAnsi="Arial"/>
      <w:color w:val="000000"/>
      <w:sz w:val="18"/>
    </w:rPr>
  </w:style>
  <w:style w:type="paragraph" w:customStyle="1" w:styleId="Captionbody">
    <w:name w:val="Caption body"/>
    <w:link w:val="CaptionbodyChar"/>
    <w:rsid w:val="005B4CAD"/>
    <w:rPr>
      <w:rFonts w:ascii="Arial" w:hAnsi="Arial"/>
      <w:color w:val="000000"/>
      <w:sz w:val="18"/>
    </w:rPr>
  </w:style>
  <w:style w:type="paragraph" w:customStyle="1" w:styleId="Captionheading">
    <w:name w:val="Caption heading"/>
    <w:basedOn w:val="Captionbody"/>
    <w:qFormat/>
    <w:rsid w:val="005B4CAD"/>
    <w:rPr>
      <w:b/>
    </w:rPr>
  </w:style>
  <w:style w:type="paragraph" w:customStyle="1" w:styleId="smlouvabodytext">
    <w:name w:val="smlouva body text"/>
    <w:basedOn w:val="Normln"/>
    <w:rsid w:val="00F433F7"/>
    <w:rPr>
      <w:rFonts w:eastAsia="Times"/>
      <w:noProof/>
    </w:rPr>
  </w:style>
  <w:style w:type="paragraph" w:customStyle="1" w:styleId="Bulletslevel1">
    <w:name w:val="Bullets level 1"/>
    <w:basedOn w:val="Normln"/>
    <w:link w:val="Bulletslevel1Char"/>
    <w:qFormat/>
    <w:rsid w:val="00075C1E"/>
    <w:pPr>
      <w:numPr>
        <w:numId w:val="4"/>
      </w:numPr>
      <w:spacing w:before="120"/>
      <w:ind w:left="360"/>
    </w:pPr>
    <w:rPr>
      <w:rFonts w:eastAsia="Times"/>
      <w:color w:val="000000"/>
      <w:szCs w:val="20"/>
      <w:lang w:val="en-GB"/>
    </w:rPr>
  </w:style>
  <w:style w:type="character" w:customStyle="1" w:styleId="Bulletslevel1Char">
    <w:name w:val="Bullets level 1 Char"/>
    <w:basedOn w:val="Standardnpsmoodstavce"/>
    <w:link w:val="Bulletslevel1"/>
    <w:rsid w:val="001C2EF4"/>
    <w:rPr>
      <w:rFonts w:ascii="Arial" w:eastAsia="Times" w:hAnsi="Arial"/>
      <w:color w:val="000000"/>
      <w:sz w:val="19"/>
      <w:lang w:val="en-GB"/>
    </w:rPr>
  </w:style>
  <w:style w:type="paragraph" w:customStyle="1" w:styleId="Bulletslevel2">
    <w:name w:val="Bullets level 2"/>
    <w:basedOn w:val="Normln"/>
    <w:link w:val="Bulletslevel2Char"/>
    <w:qFormat/>
    <w:rsid w:val="00DC6C4A"/>
    <w:pPr>
      <w:numPr>
        <w:numId w:val="18"/>
      </w:numPr>
      <w:tabs>
        <w:tab w:val="left" w:pos="567"/>
      </w:tabs>
      <w:spacing w:before="120"/>
    </w:pPr>
    <w:rPr>
      <w:rFonts w:eastAsia="Times"/>
      <w:color w:val="000000"/>
      <w:szCs w:val="20"/>
      <w:lang w:val="en-GB"/>
    </w:rPr>
  </w:style>
  <w:style w:type="character" w:customStyle="1" w:styleId="Bulletslevel2Char">
    <w:name w:val="Bullets level 2 Char"/>
    <w:basedOn w:val="Bulletslevel1Char"/>
    <w:link w:val="Bulletslevel2"/>
    <w:rsid w:val="00DC6C4A"/>
    <w:rPr>
      <w:rFonts w:ascii="Arial" w:eastAsia="Times" w:hAnsi="Arial"/>
      <w:color w:val="000000"/>
      <w:sz w:val="19"/>
      <w:lang w:val="en-GB"/>
    </w:rPr>
  </w:style>
  <w:style w:type="paragraph" w:customStyle="1" w:styleId="PulloutQuote">
    <w:name w:val="Pullout Quote"/>
    <w:rsid w:val="00095956"/>
    <w:pPr>
      <w:pBdr>
        <w:top w:val="single" w:sz="4" w:space="4" w:color="00A1DE"/>
      </w:pBdr>
      <w:suppressAutoHyphens/>
      <w:spacing w:line="320" w:lineRule="exact"/>
    </w:pPr>
    <w:rPr>
      <w:rFonts w:eastAsia="Times"/>
      <w:color w:val="00A1DE"/>
      <w:sz w:val="32"/>
      <w:lang w:val="en-GB"/>
    </w:rPr>
  </w:style>
  <w:style w:type="paragraph" w:customStyle="1" w:styleId="Highlight1">
    <w:name w:val="Highlight 1"/>
    <w:basedOn w:val="Obsah1"/>
    <w:qFormat/>
    <w:rsid w:val="00D34C27"/>
    <w:pPr>
      <w:tabs>
        <w:tab w:val="left" w:pos="482"/>
        <w:tab w:val="right" w:leader="dot" w:pos="9061"/>
      </w:tabs>
      <w:spacing w:after="0"/>
    </w:pPr>
    <w:rPr>
      <w:b/>
      <w:color w:val="3C8A2E" w:themeColor="accent5"/>
      <w:sz w:val="20"/>
    </w:rPr>
  </w:style>
  <w:style w:type="paragraph" w:customStyle="1" w:styleId="Highlight2">
    <w:name w:val="Highlight 2"/>
    <w:basedOn w:val="Normln"/>
    <w:qFormat/>
    <w:rsid w:val="00D34C27"/>
    <w:rPr>
      <w:b/>
      <w:color w:val="92D400" w:themeColor="accent2"/>
      <w:sz w:val="20"/>
    </w:rPr>
  </w:style>
  <w:style w:type="table" w:customStyle="1" w:styleId="Deloittetable1">
    <w:name w:val="Deloitte table 1"/>
    <w:basedOn w:val="Normlntabulka"/>
    <w:rsid w:val="00A40230"/>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
    <w:next w:val="Normln"/>
    <w:autoRedefine/>
    <w:uiPriority w:val="39"/>
    <w:rsid w:val="00CB0293"/>
    <w:pPr>
      <w:spacing w:after="240"/>
      <w:ind w:left="720"/>
    </w:pPr>
  </w:style>
  <w:style w:type="table" w:customStyle="1" w:styleId="Deloittetable2">
    <w:name w:val="Deloitte table 2"/>
    <w:basedOn w:val="Normlntabulka"/>
    <w:rsid w:val="00A40230"/>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lkasprostorovmiefekty1">
    <w:name w:val="Table 3D effects 1"/>
    <w:basedOn w:val="Normlntabulka"/>
    <w:rsid w:val="00CE00B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tabulka"/>
    <w:rsid w:val="00A40230"/>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tabulka"/>
    <w:rsid w:val="00A40230"/>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tabulka"/>
    <w:rsid w:val="00CE00BE"/>
    <w:rPr>
      <w:rFonts w:ascii="Arial" w:hAnsi="Arial"/>
      <w:sz w:val="19"/>
    </w:rPr>
    <w:tblPr/>
  </w:style>
  <w:style w:type="table" w:customStyle="1" w:styleId="Deloittetable6">
    <w:name w:val="Deloitte table 6"/>
    <w:basedOn w:val="Normlntabulka"/>
    <w:rsid w:val="00A40230"/>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themeColor="background2"/>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tabulka"/>
    <w:rsid w:val="00A40230"/>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lkasprostorovmiefekty3">
    <w:name w:val="Table 3D effects 3"/>
    <w:basedOn w:val="Normlntabulka"/>
    <w:rsid w:val="00CE00B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tabulka"/>
    <w:rsid w:val="006F2C90"/>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tabulka"/>
    <w:rsid w:val="006F2C90"/>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tabul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tabulka"/>
    <w:rsid w:val="006F6C05"/>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tabulka"/>
    <w:rsid w:val="006F6C05"/>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tabulka"/>
    <w:rsid w:val="006F6C05"/>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tabul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loupcetabulky3">
    <w:name w:val="Table Columns 3"/>
    <w:basedOn w:val="Normlntabulka"/>
    <w:rsid w:val="00FE07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Barevnseznamzvraznn4">
    <w:name w:val="Colorful List Accent 4"/>
    <w:basedOn w:val="Normlntabulka"/>
    <w:uiPriority w:val="72"/>
    <w:rsid w:val="00FE07E4"/>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ednmka2zvraznn4">
    <w:name w:val="Medium Grid 2 Accent 4"/>
    <w:basedOn w:val="Normlntabulka"/>
    <w:uiPriority w:val="68"/>
    <w:rsid w:val="00FE07E4"/>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character" w:customStyle="1" w:styleId="Nadpis4Char">
    <w:name w:val="Nadpis 4 Char"/>
    <w:basedOn w:val="Standardnpsmoodstavce"/>
    <w:link w:val="Nadpis4"/>
    <w:rsid w:val="0008794A"/>
    <w:rPr>
      <w:rFonts w:ascii="Arial" w:eastAsiaTheme="majorEastAsia" w:hAnsi="Arial" w:cstheme="majorBidi"/>
      <w:b/>
      <w:bCs/>
      <w:iCs/>
      <w:sz w:val="24"/>
      <w:szCs w:val="24"/>
    </w:rPr>
  </w:style>
  <w:style w:type="character" w:customStyle="1" w:styleId="Nadpis5Char">
    <w:name w:val="Nadpis 5 Char"/>
    <w:basedOn w:val="Standardnpsmoodstavce"/>
    <w:link w:val="Nadpis5"/>
    <w:rsid w:val="0008794A"/>
    <w:rPr>
      <w:rFonts w:ascii="Arial" w:eastAsiaTheme="majorEastAsia" w:hAnsi="Arial" w:cstheme="majorBidi"/>
      <w:b/>
      <w:i/>
      <w:color w:val="00133A" w:themeColor="accent1" w:themeShade="7F"/>
      <w:sz w:val="24"/>
      <w:szCs w:val="24"/>
    </w:rPr>
  </w:style>
  <w:style w:type="character" w:customStyle="1" w:styleId="Nadpis6Char">
    <w:name w:val="Nadpis 6 Char"/>
    <w:basedOn w:val="Standardnpsmoodstavce"/>
    <w:link w:val="Nadpis6"/>
    <w:rsid w:val="0008794A"/>
    <w:rPr>
      <w:rFonts w:ascii="Arial" w:eastAsiaTheme="majorEastAsia" w:hAnsi="Arial" w:cstheme="majorBidi"/>
      <w:i/>
      <w:iCs/>
      <w:color w:val="00133A" w:themeColor="accent1" w:themeShade="7F"/>
      <w:sz w:val="24"/>
      <w:szCs w:val="24"/>
    </w:rPr>
  </w:style>
  <w:style w:type="character" w:customStyle="1" w:styleId="Nadpis7Char">
    <w:name w:val="Nadpis 7 Char"/>
    <w:basedOn w:val="Standardnpsmoodstavce"/>
    <w:link w:val="Nadpis7"/>
    <w:rsid w:val="00E421C0"/>
    <w:rPr>
      <w:rFonts w:ascii="Arial" w:eastAsiaTheme="majorEastAsia" w:hAnsi="Arial" w:cstheme="majorBidi"/>
      <w:i/>
      <w:iCs/>
      <w:color w:val="404040" w:themeColor="text1" w:themeTint="BF"/>
      <w:sz w:val="22"/>
      <w:szCs w:val="24"/>
    </w:rPr>
  </w:style>
  <w:style w:type="character" w:customStyle="1" w:styleId="Nadpis8Char">
    <w:name w:val="Nadpis 8 Char"/>
    <w:basedOn w:val="Standardnpsmoodstavce"/>
    <w:link w:val="Nadpis8"/>
    <w:semiHidden/>
    <w:rsid w:val="00E421C0"/>
    <w:rPr>
      <w:rFonts w:ascii="Arial" w:eastAsiaTheme="majorEastAsia" w:hAnsi="Arial" w:cstheme="majorBidi"/>
      <w:i/>
      <w:color w:val="404040" w:themeColor="text1" w:themeTint="BF"/>
    </w:rPr>
  </w:style>
  <w:style w:type="character" w:customStyle="1" w:styleId="Nadpis9Char">
    <w:name w:val="Nadpis 9 Char"/>
    <w:basedOn w:val="Standardnpsmoodstavce"/>
    <w:link w:val="Nadpis9"/>
    <w:semiHidden/>
    <w:rsid w:val="00E421C0"/>
    <w:rPr>
      <w:rFonts w:ascii="Arial" w:eastAsiaTheme="majorEastAsia" w:hAnsi="Arial" w:cstheme="majorBidi"/>
      <w:i/>
      <w:iCs/>
      <w:color w:val="404040" w:themeColor="text1" w:themeTint="BF"/>
      <w:sz w:val="18"/>
    </w:rPr>
  </w:style>
  <w:style w:type="paragraph" w:styleId="Obsah5">
    <w:name w:val="toc 5"/>
    <w:basedOn w:val="Normln"/>
    <w:next w:val="Normln"/>
    <w:autoRedefine/>
    <w:uiPriority w:val="39"/>
    <w:rsid w:val="00210E5E"/>
    <w:pPr>
      <w:spacing w:after="100"/>
      <w:ind w:left="960"/>
    </w:pPr>
  </w:style>
  <w:style w:type="character" w:styleId="Znakapoznpodarou">
    <w:name w:val="footnote reference"/>
    <w:basedOn w:val="Standardnpsmoodstavce"/>
    <w:rsid w:val="00E421C0"/>
    <w:rPr>
      <w:rFonts w:ascii="Arial" w:hAnsi="Arial"/>
      <w:sz w:val="16"/>
      <w:vertAlign w:val="superscript"/>
    </w:rPr>
  </w:style>
  <w:style w:type="paragraph" w:styleId="Textpoznpodarou">
    <w:name w:val="footnote text"/>
    <w:basedOn w:val="Normln"/>
    <w:link w:val="TextpoznpodarouChar"/>
    <w:rsid w:val="00E421C0"/>
    <w:rPr>
      <w:sz w:val="16"/>
      <w:szCs w:val="20"/>
    </w:rPr>
  </w:style>
  <w:style w:type="character" w:customStyle="1" w:styleId="TextpoznpodarouChar">
    <w:name w:val="Text pozn. pod čarou Char"/>
    <w:basedOn w:val="Standardnpsmoodstavce"/>
    <w:link w:val="Textpoznpodarou"/>
    <w:rsid w:val="00E421C0"/>
    <w:rPr>
      <w:rFonts w:ascii="Arial" w:hAnsi="Arial"/>
      <w:sz w:val="16"/>
    </w:rPr>
  </w:style>
  <w:style w:type="paragraph" w:customStyle="1" w:styleId="Highlight3">
    <w:name w:val="Highlight 3"/>
    <w:basedOn w:val="Highlight2"/>
    <w:qFormat/>
    <w:rsid w:val="00D34C27"/>
    <w:rPr>
      <w:color w:val="00A1DE" w:themeColor="accent3"/>
    </w:rPr>
  </w:style>
  <w:style w:type="paragraph" w:customStyle="1" w:styleId="Maintext">
    <w:name w:val="Main text"/>
    <w:basedOn w:val="Normln"/>
    <w:link w:val="MaintextChar"/>
    <w:rsid w:val="00D93597"/>
    <w:pPr>
      <w:widowControl w:val="0"/>
      <w:suppressAutoHyphens/>
      <w:autoSpaceDE w:val="0"/>
      <w:autoSpaceDN w:val="0"/>
      <w:adjustRightInd w:val="0"/>
      <w:textAlignment w:val="center"/>
    </w:pPr>
    <w:rPr>
      <w:color w:val="000000"/>
      <w:szCs w:val="20"/>
      <w:lang w:val="en-GB" w:eastAsia="en-GB"/>
    </w:rPr>
  </w:style>
  <w:style w:type="character" w:customStyle="1" w:styleId="MaintextChar">
    <w:name w:val="Main text Char"/>
    <w:basedOn w:val="Standardnpsmoodstavce"/>
    <w:link w:val="Maintext"/>
    <w:rsid w:val="00D93597"/>
    <w:rPr>
      <w:rFonts w:ascii="Arial" w:hAnsi="Arial"/>
      <w:color w:val="000000"/>
      <w:sz w:val="19"/>
      <w:lang w:val="en-GB" w:eastAsia="en-GB"/>
    </w:rPr>
  </w:style>
  <w:style w:type="paragraph" w:customStyle="1" w:styleId="Text">
    <w:name w:val="Text"/>
    <w:link w:val="TextChar"/>
    <w:rsid w:val="00D93597"/>
    <w:pPr>
      <w:spacing w:before="120"/>
      <w:jc w:val="both"/>
    </w:pPr>
    <w:rPr>
      <w:noProof/>
      <w:sz w:val="22"/>
    </w:rPr>
  </w:style>
  <w:style w:type="character" w:customStyle="1" w:styleId="TextChar">
    <w:name w:val="Text Char"/>
    <w:basedOn w:val="Standardnpsmoodstavce"/>
    <w:link w:val="Text"/>
    <w:rsid w:val="00D93597"/>
    <w:rPr>
      <w:noProof/>
      <w:sz w:val="22"/>
    </w:rPr>
  </w:style>
  <w:style w:type="character" w:customStyle="1" w:styleId="Nadpis1Char">
    <w:name w:val="Nadpis 1 Char"/>
    <w:basedOn w:val="Standardnpsmoodstavce"/>
    <w:link w:val="Nadpis1"/>
    <w:rsid w:val="0002262B"/>
    <w:rPr>
      <w:rFonts w:ascii="Times New Roman Bold" w:hAnsi="Times New Roman Bold" w:cs="Arial"/>
      <w:bCs/>
      <w:color w:val="002776"/>
      <w:kern w:val="32"/>
      <w:sz w:val="40"/>
      <w:szCs w:val="32"/>
    </w:rPr>
  </w:style>
  <w:style w:type="character" w:styleId="Siln">
    <w:name w:val="Strong"/>
    <w:basedOn w:val="Standardnpsmoodstavce"/>
    <w:qFormat/>
    <w:rsid w:val="00D93597"/>
    <w:rPr>
      <w:b/>
      <w:bCs/>
    </w:rPr>
  </w:style>
  <w:style w:type="paragraph" w:customStyle="1" w:styleId="Deloitteintroparagraph">
    <w:name w:val="Deloitte intro paragraph"/>
    <w:qFormat/>
    <w:rsid w:val="00C82F17"/>
    <w:pPr>
      <w:spacing w:before="120" w:after="120"/>
    </w:pPr>
    <w:rPr>
      <w:rFonts w:ascii="Arial" w:hAnsi="Arial"/>
      <w:b/>
      <w:color w:val="00A1DE"/>
      <w:sz w:val="24"/>
      <w:szCs w:val="22"/>
      <w:lang w:val="cs-CZ"/>
    </w:rPr>
  </w:style>
  <w:style w:type="paragraph" w:customStyle="1" w:styleId="Style10ptDarkBlueBefore5ptAfter5pt">
    <w:name w:val="Style 10 pt Dark Blue Before:  5 pt After:  5 pt"/>
    <w:basedOn w:val="Normln"/>
    <w:rsid w:val="00877F77"/>
    <w:rPr>
      <w:rFonts w:ascii="Times New Roman" w:hAnsi="Times New Roman"/>
      <w:color w:val="000080"/>
      <w:sz w:val="20"/>
      <w:szCs w:val="20"/>
    </w:rPr>
  </w:style>
  <w:style w:type="paragraph" w:styleId="Nzev">
    <w:name w:val="Title"/>
    <w:basedOn w:val="Normln"/>
    <w:link w:val="NzevChar"/>
    <w:qFormat/>
    <w:rsid w:val="009C71F4"/>
    <w:pPr>
      <w:jc w:val="center"/>
    </w:pPr>
    <w:rPr>
      <w:b/>
      <w:bCs/>
      <w:sz w:val="32"/>
      <w:lang w:val="en-CA" w:eastAsia="x-none"/>
    </w:rPr>
  </w:style>
  <w:style w:type="character" w:customStyle="1" w:styleId="NzevChar">
    <w:name w:val="Název Char"/>
    <w:basedOn w:val="Standardnpsmoodstavce"/>
    <w:link w:val="Nzev"/>
    <w:rsid w:val="009C71F4"/>
    <w:rPr>
      <w:rFonts w:ascii="Arial" w:hAnsi="Arial"/>
      <w:b/>
      <w:bCs/>
      <w:sz w:val="32"/>
      <w:szCs w:val="24"/>
      <w:lang w:val="en-CA" w:eastAsia="x-none"/>
    </w:rPr>
  </w:style>
  <w:style w:type="character" w:styleId="Odkaznakoment">
    <w:name w:val="annotation reference"/>
    <w:basedOn w:val="Standardnpsmoodstavce"/>
    <w:semiHidden/>
    <w:unhideWhenUsed/>
    <w:rsid w:val="009A3540"/>
    <w:rPr>
      <w:sz w:val="16"/>
      <w:szCs w:val="16"/>
    </w:rPr>
  </w:style>
  <w:style w:type="paragraph" w:styleId="Textkomente">
    <w:name w:val="annotation text"/>
    <w:basedOn w:val="Normln"/>
    <w:link w:val="TextkomenteChar"/>
    <w:semiHidden/>
    <w:unhideWhenUsed/>
    <w:rsid w:val="009A3540"/>
    <w:rPr>
      <w:sz w:val="20"/>
      <w:szCs w:val="20"/>
    </w:rPr>
  </w:style>
  <w:style w:type="character" w:customStyle="1" w:styleId="TextkomenteChar">
    <w:name w:val="Text komentáře Char"/>
    <w:basedOn w:val="Standardnpsmoodstavce"/>
    <w:link w:val="Textkomente"/>
    <w:semiHidden/>
    <w:rsid w:val="009A3540"/>
    <w:rPr>
      <w:rFonts w:ascii="Arial" w:hAnsi="Arial"/>
    </w:rPr>
  </w:style>
  <w:style w:type="paragraph" w:styleId="Pedmtkomente">
    <w:name w:val="annotation subject"/>
    <w:basedOn w:val="Textkomente"/>
    <w:next w:val="Textkomente"/>
    <w:link w:val="PedmtkomenteChar"/>
    <w:semiHidden/>
    <w:unhideWhenUsed/>
    <w:rsid w:val="009A3540"/>
    <w:rPr>
      <w:b/>
      <w:bCs/>
    </w:rPr>
  </w:style>
  <w:style w:type="character" w:customStyle="1" w:styleId="PedmtkomenteChar">
    <w:name w:val="Předmět komentáře Char"/>
    <w:basedOn w:val="TextkomenteChar"/>
    <w:link w:val="Pedmtkomente"/>
    <w:semiHidden/>
    <w:rsid w:val="009A3540"/>
    <w:rPr>
      <w:rFonts w:ascii="Arial" w:hAnsi="Arial"/>
      <w:b/>
      <w:bCs/>
    </w:rPr>
  </w:style>
  <w:style w:type="table" w:customStyle="1" w:styleId="LightList-Accent61">
    <w:name w:val="Light List - Accent 61"/>
    <w:basedOn w:val="Normlntabulka"/>
    <w:next w:val="Svtlseznamzvraznn6"/>
    <w:uiPriority w:val="61"/>
    <w:rsid w:val="00597B72"/>
    <w:rPr>
      <w:rFonts w:ascii="Arial" w:eastAsia="Arial" w:hAnsi="Arial"/>
      <w:sz w:val="22"/>
      <w:szCs w:val="22"/>
      <w:lang w:val="en-GB"/>
    </w:rPr>
    <w:tblPr>
      <w:tblStyleRowBandSize w:val="1"/>
      <w:tblStyleColBandSize w:val="1"/>
      <w:tblBorders>
        <w:top w:val="single" w:sz="8" w:space="0" w:color="72C7E7"/>
        <w:left w:val="single" w:sz="8" w:space="0" w:color="72C7E7"/>
        <w:bottom w:val="single" w:sz="8" w:space="0" w:color="72C7E7"/>
        <w:right w:val="single" w:sz="8" w:space="0" w:color="72C7E7"/>
      </w:tblBorders>
    </w:tblPr>
    <w:tblStylePr w:type="firstRow">
      <w:pPr>
        <w:spacing w:before="0" w:after="0" w:line="240" w:lineRule="auto"/>
      </w:pPr>
      <w:rPr>
        <w:b/>
        <w:bCs/>
        <w:color w:val="FFFFFF"/>
      </w:rPr>
      <w:tblPr/>
      <w:tcPr>
        <w:shd w:val="clear" w:color="auto" w:fill="72C7E7"/>
      </w:tcPr>
    </w:tblStylePr>
    <w:tblStylePr w:type="lastRow">
      <w:pPr>
        <w:spacing w:before="0" w:after="0" w:line="240" w:lineRule="auto"/>
      </w:pPr>
      <w:rPr>
        <w:b/>
        <w:bCs/>
      </w:rPr>
      <w:tblPr/>
      <w:tcPr>
        <w:tcBorders>
          <w:top w:val="double" w:sz="6" w:space="0" w:color="72C7E7"/>
          <w:left w:val="single" w:sz="8" w:space="0" w:color="72C7E7"/>
          <w:bottom w:val="single" w:sz="8" w:space="0" w:color="72C7E7"/>
          <w:right w:val="single" w:sz="8" w:space="0" w:color="72C7E7"/>
        </w:tcBorders>
      </w:tcPr>
    </w:tblStylePr>
    <w:tblStylePr w:type="firstCol">
      <w:rPr>
        <w:b/>
        <w:bCs/>
      </w:rPr>
    </w:tblStylePr>
    <w:tblStylePr w:type="lastCol">
      <w:rPr>
        <w:b/>
        <w:bCs/>
      </w:rPr>
    </w:tblStylePr>
    <w:tblStylePr w:type="band1Vert">
      <w:tblPr/>
      <w:tcPr>
        <w:tcBorders>
          <w:top w:val="single" w:sz="8" w:space="0" w:color="72C7E7"/>
          <w:left w:val="single" w:sz="8" w:space="0" w:color="72C7E7"/>
          <w:bottom w:val="single" w:sz="8" w:space="0" w:color="72C7E7"/>
          <w:right w:val="single" w:sz="8" w:space="0" w:color="72C7E7"/>
        </w:tcBorders>
      </w:tcPr>
    </w:tblStylePr>
    <w:tblStylePr w:type="band1Horz">
      <w:tblPr/>
      <w:tcPr>
        <w:tcBorders>
          <w:top w:val="single" w:sz="8" w:space="0" w:color="72C7E7"/>
          <w:left w:val="single" w:sz="8" w:space="0" w:color="72C7E7"/>
          <w:bottom w:val="single" w:sz="8" w:space="0" w:color="72C7E7"/>
          <w:right w:val="single" w:sz="8" w:space="0" w:color="72C7E7"/>
        </w:tcBorders>
      </w:tcPr>
    </w:tblStylePr>
  </w:style>
  <w:style w:type="table" w:styleId="Svtlseznamzvraznn6">
    <w:name w:val="Light List Accent 6"/>
    <w:basedOn w:val="Normlntabulka"/>
    <w:uiPriority w:val="61"/>
    <w:rsid w:val="00597B72"/>
    <w:tblPr>
      <w:tblStyleRowBandSize w:val="1"/>
      <w:tblStyleColBandSize w:val="1"/>
      <w:tblBorders>
        <w:top w:val="single" w:sz="8" w:space="0" w:color="C9DD03" w:themeColor="accent6"/>
        <w:left w:val="single" w:sz="8" w:space="0" w:color="C9DD03" w:themeColor="accent6"/>
        <w:bottom w:val="single" w:sz="8" w:space="0" w:color="C9DD03" w:themeColor="accent6"/>
        <w:right w:val="single" w:sz="8" w:space="0" w:color="C9DD03" w:themeColor="accent6"/>
      </w:tblBorders>
    </w:tblPr>
    <w:tblStylePr w:type="firstRow">
      <w:pPr>
        <w:spacing w:before="0" w:after="0" w:line="240" w:lineRule="auto"/>
      </w:pPr>
      <w:rPr>
        <w:b/>
        <w:bCs/>
        <w:color w:val="FFFFFF" w:themeColor="background1"/>
      </w:rPr>
      <w:tblPr/>
      <w:tcPr>
        <w:shd w:val="clear" w:color="auto" w:fill="C9DD03" w:themeFill="accent6"/>
      </w:tcPr>
    </w:tblStylePr>
    <w:tblStylePr w:type="lastRow">
      <w:pPr>
        <w:spacing w:before="0" w:after="0" w:line="240" w:lineRule="auto"/>
      </w:pPr>
      <w:rPr>
        <w:b/>
        <w:bCs/>
      </w:rPr>
      <w:tblPr/>
      <w:tcPr>
        <w:tcBorders>
          <w:top w:val="double" w:sz="6" w:space="0" w:color="C9DD03" w:themeColor="accent6"/>
          <w:left w:val="single" w:sz="8" w:space="0" w:color="C9DD03" w:themeColor="accent6"/>
          <w:bottom w:val="single" w:sz="8" w:space="0" w:color="C9DD03" w:themeColor="accent6"/>
          <w:right w:val="single" w:sz="8" w:space="0" w:color="C9DD03" w:themeColor="accent6"/>
        </w:tcBorders>
      </w:tcPr>
    </w:tblStylePr>
    <w:tblStylePr w:type="firstCol">
      <w:rPr>
        <w:b/>
        <w:bCs/>
      </w:rPr>
    </w:tblStylePr>
    <w:tblStylePr w:type="lastCol">
      <w:rPr>
        <w:b/>
        <w:bCs/>
      </w:rPr>
    </w:tblStylePr>
    <w:tblStylePr w:type="band1Vert">
      <w:tblPr/>
      <w:tcPr>
        <w:tcBorders>
          <w:top w:val="single" w:sz="8" w:space="0" w:color="C9DD03" w:themeColor="accent6"/>
          <w:left w:val="single" w:sz="8" w:space="0" w:color="C9DD03" w:themeColor="accent6"/>
          <w:bottom w:val="single" w:sz="8" w:space="0" w:color="C9DD03" w:themeColor="accent6"/>
          <w:right w:val="single" w:sz="8" w:space="0" w:color="C9DD03" w:themeColor="accent6"/>
        </w:tcBorders>
      </w:tcPr>
    </w:tblStylePr>
    <w:tblStylePr w:type="band1Horz">
      <w:tblPr/>
      <w:tcPr>
        <w:tcBorders>
          <w:top w:val="single" w:sz="8" w:space="0" w:color="C9DD03" w:themeColor="accent6"/>
          <w:left w:val="single" w:sz="8" w:space="0" w:color="C9DD03" w:themeColor="accent6"/>
          <w:bottom w:val="single" w:sz="8" w:space="0" w:color="C9DD03" w:themeColor="accent6"/>
          <w:right w:val="single" w:sz="8" w:space="0" w:color="C9DD03" w:themeColor="accent6"/>
        </w:tcBorders>
      </w:tcPr>
    </w:tblStylePr>
  </w:style>
  <w:style w:type="paragraph" w:styleId="Prosttext">
    <w:name w:val="Plain Text"/>
    <w:basedOn w:val="Normln"/>
    <w:link w:val="ProsttextChar"/>
    <w:uiPriority w:val="99"/>
    <w:semiHidden/>
    <w:unhideWhenUsed/>
    <w:rsid w:val="00320DC1"/>
    <w:rPr>
      <w:rFonts w:ascii="Calibri" w:eastAsiaTheme="minorHAnsi" w:hAnsi="Calibri" w:cs="Consolas"/>
      <w:sz w:val="22"/>
      <w:szCs w:val="21"/>
      <w:lang w:val="cs-CZ"/>
    </w:rPr>
  </w:style>
  <w:style w:type="character" w:customStyle="1" w:styleId="ProsttextChar">
    <w:name w:val="Prostý text Char"/>
    <w:basedOn w:val="Standardnpsmoodstavce"/>
    <w:link w:val="Prosttext"/>
    <w:uiPriority w:val="99"/>
    <w:semiHidden/>
    <w:rsid w:val="00320DC1"/>
    <w:rPr>
      <w:rFonts w:ascii="Calibri" w:eastAsiaTheme="minorHAnsi" w:hAnsi="Calibri" w:cs="Consolas"/>
      <w:sz w:val="22"/>
      <w:szCs w:val="21"/>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lsdException w:name="Plain Tex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ln">
    <w:name w:val="Normal"/>
    <w:qFormat/>
    <w:rsid w:val="00F35321"/>
    <w:rPr>
      <w:rFonts w:ascii="Arial" w:hAnsi="Arial"/>
      <w:sz w:val="19"/>
      <w:szCs w:val="24"/>
    </w:rPr>
  </w:style>
  <w:style w:type="paragraph" w:styleId="Nadpis1">
    <w:name w:val="heading 1"/>
    <w:next w:val="Nadpis2"/>
    <w:link w:val="Nadpis1Char"/>
    <w:qFormat/>
    <w:rsid w:val="0002262B"/>
    <w:pPr>
      <w:numPr>
        <w:numId w:val="5"/>
      </w:numPr>
      <w:spacing w:after="240"/>
      <w:ind w:left="851" w:hanging="851"/>
      <w:outlineLvl w:val="0"/>
    </w:pPr>
    <w:rPr>
      <w:rFonts w:ascii="Times New Roman Bold" w:hAnsi="Times New Roman Bold" w:cs="Arial"/>
      <w:bCs/>
      <w:color w:val="002776"/>
      <w:kern w:val="32"/>
      <w:sz w:val="40"/>
      <w:szCs w:val="32"/>
    </w:rPr>
  </w:style>
  <w:style w:type="paragraph" w:styleId="Nadpis2">
    <w:name w:val="heading 2"/>
    <w:basedOn w:val="Nadpis1"/>
    <w:next w:val="Nadpis3"/>
    <w:qFormat/>
    <w:rsid w:val="00E421C0"/>
    <w:pPr>
      <w:numPr>
        <w:ilvl w:val="1"/>
      </w:numPr>
      <w:spacing w:before="240"/>
      <w:ind w:left="578" w:hanging="578"/>
      <w:outlineLvl w:val="1"/>
    </w:pPr>
    <w:rPr>
      <w:rFonts w:ascii="Arial" w:hAnsi="Arial"/>
      <w:b/>
      <w:bCs w:val="0"/>
      <w:iCs/>
      <w:color w:val="92D400" w:themeColor="accent2"/>
      <w:sz w:val="24"/>
      <w:szCs w:val="24"/>
    </w:rPr>
  </w:style>
  <w:style w:type="paragraph" w:styleId="Nadpis3">
    <w:name w:val="heading 3"/>
    <w:basedOn w:val="Nadpis2"/>
    <w:next w:val="Normln"/>
    <w:qFormat/>
    <w:rsid w:val="00E421C0"/>
    <w:pPr>
      <w:numPr>
        <w:ilvl w:val="2"/>
      </w:numPr>
      <w:outlineLvl w:val="2"/>
    </w:pPr>
    <w:rPr>
      <w:bCs/>
      <w:color w:val="3C8A2E" w:themeColor="accent5"/>
      <w:szCs w:val="26"/>
    </w:rPr>
  </w:style>
  <w:style w:type="paragraph" w:styleId="Nadpis4">
    <w:name w:val="heading 4"/>
    <w:basedOn w:val="Normln"/>
    <w:next w:val="Normln"/>
    <w:link w:val="Nadpis4Char"/>
    <w:unhideWhenUsed/>
    <w:qFormat/>
    <w:rsid w:val="0008794A"/>
    <w:pPr>
      <w:keepNext/>
      <w:keepLines/>
      <w:numPr>
        <w:ilvl w:val="3"/>
        <w:numId w:val="5"/>
      </w:numPr>
      <w:spacing w:before="240" w:after="240"/>
      <w:outlineLvl w:val="3"/>
    </w:pPr>
    <w:rPr>
      <w:rFonts w:eastAsiaTheme="majorEastAsia" w:cstheme="majorBidi"/>
      <w:b/>
      <w:bCs/>
      <w:iCs/>
      <w:sz w:val="24"/>
    </w:rPr>
  </w:style>
  <w:style w:type="paragraph" w:styleId="Nadpis5">
    <w:name w:val="heading 5"/>
    <w:basedOn w:val="Normln"/>
    <w:next w:val="Normln"/>
    <w:link w:val="Nadpis5Char"/>
    <w:unhideWhenUsed/>
    <w:qFormat/>
    <w:rsid w:val="0008794A"/>
    <w:pPr>
      <w:keepNext/>
      <w:keepLines/>
      <w:numPr>
        <w:ilvl w:val="4"/>
        <w:numId w:val="5"/>
      </w:numPr>
      <w:spacing w:before="240" w:after="240"/>
      <w:outlineLvl w:val="4"/>
    </w:pPr>
    <w:rPr>
      <w:rFonts w:eastAsiaTheme="majorEastAsia" w:cstheme="majorBidi"/>
      <w:b/>
      <w:i/>
      <w:color w:val="00133A" w:themeColor="accent1" w:themeShade="7F"/>
      <w:sz w:val="24"/>
    </w:rPr>
  </w:style>
  <w:style w:type="paragraph" w:styleId="Nadpis6">
    <w:name w:val="heading 6"/>
    <w:basedOn w:val="Normln"/>
    <w:next w:val="Normln"/>
    <w:link w:val="Nadpis6Char"/>
    <w:unhideWhenUsed/>
    <w:qFormat/>
    <w:rsid w:val="0008794A"/>
    <w:pPr>
      <w:keepNext/>
      <w:keepLines/>
      <w:numPr>
        <w:ilvl w:val="5"/>
        <w:numId w:val="5"/>
      </w:numPr>
      <w:spacing w:before="240" w:after="240"/>
      <w:ind w:left="1418" w:hanging="1418"/>
      <w:outlineLvl w:val="5"/>
    </w:pPr>
    <w:rPr>
      <w:rFonts w:eastAsiaTheme="majorEastAsia" w:cstheme="majorBidi"/>
      <w:i/>
      <w:iCs/>
      <w:color w:val="00133A" w:themeColor="accent1" w:themeShade="7F"/>
      <w:sz w:val="24"/>
    </w:rPr>
  </w:style>
  <w:style w:type="paragraph" w:styleId="Nadpis7">
    <w:name w:val="heading 7"/>
    <w:basedOn w:val="Normln"/>
    <w:next w:val="Normln"/>
    <w:link w:val="Nadpis7Char"/>
    <w:unhideWhenUsed/>
    <w:qFormat/>
    <w:rsid w:val="00E421C0"/>
    <w:pPr>
      <w:keepNext/>
      <w:keepLines/>
      <w:numPr>
        <w:ilvl w:val="6"/>
        <w:numId w:val="5"/>
      </w:numPr>
      <w:spacing w:before="240" w:after="240"/>
      <w:ind w:left="1576" w:hanging="1576"/>
      <w:outlineLvl w:val="6"/>
    </w:pPr>
    <w:rPr>
      <w:rFonts w:eastAsiaTheme="majorEastAsia" w:cstheme="majorBidi"/>
      <w:i/>
      <w:iCs/>
      <w:color w:val="404040" w:themeColor="text1" w:themeTint="BF"/>
      <w:sz w:val="22"/>
    </w:rPr>
  </w:style>
  <w:style w:type="paragraph" w:styleId="Nadpis8">
    <w:name w:val="heading 8"/>
    <w:basedOn w:val="Normln"/>
    <w:next w:val="Normln"/>
    <w:link w:val="Nadpis8Char"/>
    <w:semiHidden/>
    <w:unhideWhenUsed/>
    <w:qFormat/>
    <w:rsid w:val="00E421C0"/>
    <w:pPr>
      <w:keepNext/>
      <w:keepLines/>
      <w:numPr>
        <w:ilvl w:val="7"/>
        <w:numId w:val="5"/>
      </w:numPr>
      <w:spacing w:before="240" w:after="240"/>
      <w:ind w:left="1701" w:hanging="1701"/>
      <w:outlineLvl w:val="7"/>
    </w:pPr>
    <w:rPr>
      <w:rFonts w:eastAsiaTheme="majorEastAsia" w:cstheme="majorBidi"/>
      <w:i/>
      <w:color w:val="404040" w:themeColor="text1" w:themeTint="BF"/>
      <w:sz w:val="20"/>
      <w:szCs w:val="20"/>
    </w:rPr>
  </w:style>
  <w:style w:type="paragraph" w:styleId="Nadpis9">
    <w:name w:val="heading 9"/>
    <w:basedOn w:val="Normln"/>
    <w:next w:val="Normln"/>
    <w:link w:val="Nadpis9Char"/>
    <w:semiHidden/>
    <w:unhideWhenUsed/>
    <w:qFormat/>
    <w:rsid w:val="00E421C0"/>
    <w:pPr>
      <w:keepNext/>
      <w:keepLines/>
      <w:numPr>
        <w:ilvl w:val="8"/>
        <w:numId w:val="5"/>
      </w:numPr>
      <w:spacing w:before="240" w:after="240"/>
      <w:ind w:left="1985" w:hanging="1985"/>
      <w:outlineLvl w:val="8"/>
    </w:pPr>
    <w:rPr>
      <w:rFonts w:eastAsiaTheme="majorEastAsia" w:cstheme="majorBidi"/>
      <w:i/>
      <w:iCs/>
      <w:color w:val="404040" w:themeColor="text1" w:themeTint="BF"/>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aliases w:val="Deloitte table 3"/>
    <w:basedOn w:val="Normlntabulka"/>
    <w:rsid w:val="00A40230"/>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Zhlav">
    <w:name w:val="header"/>
    <w:basedOn w:val="Normln"/>
    <w:link w:val="ZhlavChar"/>
    <w:uiPriority w:val="99"/>
    <w:rsid w:val="00E421C0"/>
    <w:pPr>
      <w:tabs>
        <w:tab w:val="center" w:pos="4703"/>
        <w:tab w:val="right" w:pos="9406"/>
      </w:tabs>
    </w:pPr>
    <w:rPr>
      <w:sz w:val="16"/>
    </w:rPr>
  </w:style>
  <w:style w:type="paragraph" w:styleId="Zpat">
    <w:name w:val="footer"/>
    <w:basedOn w:val="Normln"/>
    <w:link w:val="ZpatChar"/>
    <w:rsid w:val="008C3FA4"/>
    <w:pPr>
      <w:tabs>
        <w:tab w:val="center" w:pos="4703"/>
        <w:tab w:val="right" w:pos="9406"/>
      </w:tabs>
    </w:pPr>
  </w:style>
  <w:style w:type="character" w:styleId="slostrnky">
    <w:name w:val="page number"/>
    <w:basedOn w:val="Standardnpsmoodstavce"/>
    <w:rsid w:val="00E421C0"/>
    <w:rPr>
      <w:rFonts w:ascii="Arial" w:hAnsi="Arial"/>
      <w:sz w:val="16"/>
    </w:rPr>
  </w:style>
  <w:style w:type="paragraph" w:styleId="Obsah1">
    <w:name w:val="toc 1"/>
    <w:basedOn w:val="Normln"/>
    <w:next w:val="Normln"/>
    <w:autoRedefine/>
    <w:uiPriority w:val="39"/>
    <w:rsid w:val="00D34C27"/>
    <w:pPr>
      <w:spacing w:after="240"/>
      <w:ind w:left="720" w:hanging="720"/>
    </w:pPr>
    <w:rPr>
      <w:sz w:val="24"/>
    </w:rPr>
  </w:style>
  <w:style w:type="paragraph" w:styleId="Obsah2">
    <w:name w:val="toc 2"/>
    <w:basedOn w:val="Normln"/>
    <w:next w:val="Normln"/>
    <w:autoRedefine/>
    <w:uiPriority w:val="39"/>
    <w:rsid w:val="00D34C27"/>
    <w:pPr>
      <w:spacing w:after="240"/>
      <w:ind w:left="958" w:hanging="720"/>
    </w:pPr>
    <w:rPr>
      <w:sz w:val="24"/>
    </w:rPr>
  </w:style>
  <w:style w:type="paragraph" w:styleId="Obsah3">
    <w:name w:val="toc 3"/>
    <w:basedOn w:val="Normln"/>
    <w:next w:val="Normln"/>
    <w:autoRedefine/>
    <w:uiPriority w:val="39"/>
    <w:rsid w:val="00D34C27"/>
    <w:pPr>
      <w:spacing w:after="240"/>
      <w:ind w:left="1202" w:hanging="720"/>
    </w:pPr>
    <w:rPr>
      <w:sz w:val="24"/>
    </w:rPr>
  </w:style>
  <w:style w:type="character" w:styleId="Hypertextovodkaz">
    <w:name w:val="Hyperlink"/>
    <w:basedOn w:val="Standardnpsmoodstavce"/>
    <w:rsid w:val="0089744E"/>
    <w:rPr>
      <w:rFonts w:ascii="Arial" w:hAnsi="Arial"/>
      <w:color w:val="00A1DE" w:themeColor="accent3"/>
      <w:sz w:val="19"/>
      <w:u w:val="single"/>
    </w:rPr>
  </w:style>
  <w:style w:type="paragraph" w:styleId="Textbubliny">
    <w:name w:val="Balloon Text"/>
    <w:basedOn w:val="Normln"/>
    <w:semiHidden/>
    <w:rsid w:val="00392FE4"/>
    <w:rPr>
      <w:rFonts w:ascii="Tahoma" w:hAnsi="Tahoma" w:cs="Tahoma"/>
      <w:sz w:val="16"/>
      <w:szCs w:val="16"/>
    </w:rPr>
  </w:style>
  <w:style w:type="character" w:customStyle="1" w:styleId="ZhlavChar">
    <w:name w:val="Záhlaví Char"/>
    <w:basedOn w:val="Standardnpsmoodstavce"/>
    <w:link w:val="Zhlav"/>
    <w:uiPriority w:val="99"/>
    <w:rsid w:val="00E421C0"/>
    <w:rPr>
      <w:rFonts w:ascii="Arial" w:hAnsi="Arial"/>
      <w:sz w:val="16"/>
      <w:szCs w:val="24"/>
    </w:rPr>
  </w:style>
  <w:style w:type="character" w:customStyle="1" w:styleId="ZpatChar">
    <w:name w:val="Zápatí Char"/>
    <w:basedOn w:val="Standardnpsmoodstavce"/>
    <w:link w:val="Zpat"/>
    <w:uiPriority w:val="99"/>
    <w:rsid w:val="004A531E"/>
    <w:rPr>
      <w:sz w:val="24"/>
      <w:szCs w:val="24"/>
    </w:rPr>
  </w:style>
  <w:style w:type="paragraph" w:customStyle="1" w:styleId="BodyText1">
    <w:name w:val="Body Text1"/>
    <w:qFormat/>
    <w:rsid w:val="00E42491"/>
    <w:rPr>
      <w:rFonts w:ascii="Arial" w:hAnsi="Arial"/>
      <w:color w:val="000000"/>
      <w:sz w:val="19"/>
      <w:szCs w:val="48"/>
      <w:lang w:val="cs-CZ"/>
    </w:rPr>
  </w:style>
  <w:style w:type="paragraph" w:customStyle="1" w:styleId="Legalentity">
    <w:name w:val="Legal entity"/>
    <w:basedOn w:val="Normln"/>
    <w:rsid w:val="00075C1E"/>
    <w:pPr>
      <w:widowControl w:val="0"/>
      <w:suppressAutoHyphens/>
      <w:autoSpaceDE w:val="0"/>
      <w:autoSpaceDN w:val="0"/>
      <w:adjustRightInd w:val="0"/>
      <w:spacing w:after="90" w:line="180" w:lineRule="atLeast"/>
      <w:textAlignment w:val="center"/>
    </w:pPr>
    <w:rPr>
      <w:color w:val="000000"/>
      <w:sz w:val="15"/>
      <w:szCs w:val="20"/>
      <w:lang w:val="en-GB" w:eastAsia="en-GB"/>
    </w:rPr>
  </w:style>
  <w:style w:type="paragraph" w:customStyle="1" w:styleId="smlouvaheading1">
    <w:name w:val="smlouva heading 1"/>
    <w:next w:val="BodyText1"/>
    <w:qFormat/>
    <w:rsid w:val="00705604"/>
    <w:pPr>
      <w:numPr>
        <w:numId w:val="33"/>
      </w:numPr>
      <w:tabs>
        <w:tab w:val="left" w:pos="357"/>
      </w:tabs>
      <w:spacing w:before="120" w:after="120"/>
      <w:ind w:left="357" w:hanging="357"/>
    </w:pPr>
    <w:rPr>
      <w:rFonts w:ascii="Arial" w:hAnsi="Arial"/>
      <w:b/>
      <w:noProof/>
      <w:color w:val="000000" w:themeColor="text1"/>
      <w:sz w:val="19"/>
      <w:szCs w:val="24"/>
      <w:lang w:val="cs-CZ"/>
    </w:rPr>
  </w:style>
  <w:style w:type="paragraph" w:customStyle="1" w:styleId="CaptionIntroductionparagraph">
    <w:name w:val="Caption Introduction paragraph"/>
    <w:qFormat/>
    <w:rsid w:val="007F11EE"/>
    <w:rPr>
      <w:rFonts w:ascii="Arial" w:hAnsi="Arial"/>
      <w:b/>
      <w:color w:val="00A1DE"/>
      <w:sz w:val="24"/>
      <w:szCs w:val="22"/>
      <w:lang w:val="cs-CZ"/>
    </w:rPr>
  </w:style>
  <w:style w:type="paragraph" w:customStyle="1" w:styleId="smlouvaheading2">
    <w:name w:val="smlouva heading 2"/>
    <w:basedOn w:val="CaptionIntroductionparagraph"/>
    <w:next w:val="BodyText1"/>
    <w:qFormat/>
    <w:rsid w:val="00705604"/>
    <w:pPr>
      <w:numPr>
        <w:ilvl w:val="1"/>
        <w:numId w:val="33"/>
      </w:numPr>
      <w:tabs>
        <w:tab w:val="left" w:pos="567"/>
      </w:tabs>
      <w:ind w:left="567" w:hanging="567"/>
    </w:pPr>
    <w:rPr>
      <w:b w:val="0"/>
      <w:color w:val="000000" w:themeColor="text1"/>
      <w:sz w:val="19"/>
    </w:rPr>
  </w:style>
  <w:style w:type="paragraph" w:customStyle="1" w:styleId="smlouvaheading3">
    <w:name w:val="smlouva heading 3"/>
    <w:basedOn w:val="smlouvaheading2"/>
    <w:next w:val="BodyText1"/>
    <w:qFormat/>
    <w:rsid w:val="00705604"/>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705604"/>
    <w:pPr>
      <w:numPr>
        <w:ilvl w:val="3"/>
      </w:numPr>
      <w:tabs>
        <w:tab w:val="clear" w:pos="794"/>
        <w:tab w:val="left" w:pos="1021"/>
      </w:tabs>
      <w:ind w:left="1021" w:hanging="1021"/>
    </w:pPr>
    <w:rPr>
      <w:color w:val="auto"/>
    </w:rPr>
  </w:style>
  <w:style w:type="paragraph" w:customStyle="1" w:styleId="smlouvabodytextbold">
    <w:name w:val="smlouva body text bold"/>
    <w:basedOn w:val="smlouvaheading4"/>
    <w:next w:val="BodyText1"/>
    <w:qFormat/>
    <w:rsid w:val="00F433F7"/>
    <w:pPr>
      <w:numPr>
        <w:ilvl w:val="0"/>
        <w:numId w:val="0"/>
      </w:numPr>
    </w:pPr>
    <w:rPr>
      <w:b/>
    </w:rPr>
  </w:style>
  <w:style w:type="paragraph" w:customStyle="1" w:styleId="Bodytextbold">
    <w:name w:val="Body text bold"/>
    <w:basedOn w:val="smlouvabodytextbold"/>
    <w:next w:val="BodyText1"/>
    <w:qFormat/>
    <w:rsid w:val="00075C1E"/>
    <w:pPr>
      <w:tabs>
        <w:tab w:val="clear" w:pos="1021"/>
        <w:tab w:val="left" w:pos="1134"/>
      </w:tabs>
    </w:pPr>
    <w:rPr>
      <w:color w:val="000000"/>
    </w:rPr>
  </w:style>
  <w:style w:type="character" w:customStyle="1" w:styleId="CaptionbodyChar">
    <w:name w:val="Caption body Char"/>
    <w:basedOn w:val="Standardnpsmoodstavce"/>
    <w:link w:val="Captionbody"/>
    <w:rsid w:val="005B4CAD"/>
    <w:rPr>
      <w:rFonts w:ascii="Arial" w:hAnsi="Arial"/>
      <w:color w:val="000000"/>
      <w:sz w:val="18"/>
    </w:rPr>
  </w:style>
  <w:style w:type="paragraph" w:customStyle="1" w:styleId="Captionbody">
    <w:name w:val="Caption body"/>
    <w:link w:val="CaptionbodyChar"/>
    <w:rsid w:val="005B4CAD"/>
    <w:rPr>
      <w:rFonts w:ascii="Arial" w:hAnsi="Arial"/>
      <w:color w:val="000000"/>
      <w:sz w:val="18"/>
    </w:rPr>
  </w:style>
  <w:style w:type="paragraph" w:customStyle="1" w:styleId="Captionheading">
    <w:name w:val="Caption heading"/>
    <w:basedOn w:val="Captionbody"/>
    <w:qFormat/>
    <w:rsid w:val="005B4CAD"/>
    <w:rPr>
      <w:b/>
    </w:rPr>
  </w:style>
  <w:style w:type="paragraph" w:customStyle="1" w:styleId="smlouvabodytext">
    <w:name w:val="smlouva body text"/>
    <w:basedOn w:val="Normln"/>
    <w:rsid w:val="00F433F7"/>
    <w:rPr>
      <w:rFonts w:eastAsia="Times"/>
      <w:noProof/>
    </w:rPr>
  </w:style>
  <w:style w:type="paragraph" w:customStyle="1" w:styleId="Bulletslevel1">
    <w:name w:val="Bullets level 1"/>
    <w:basedOn w:val="Normln"/>
    <w:link w:val="Bulletslevel1Char"/>
    <w:qFormat/>
    <w:rsid w:val="00075C1E"/>
    <w:pPr>
      <w:numPr>
        <w:numId w:val="4"/>
      </w:numPr>
      <w:spacing w:before="120"/>
      <w:ind w:left="360"/>
    </w:pPr>
    <w:rPr>
      <w:rFonts w:eastAsia="Times"/>
      <w:color w:val="000000"/>
      <w:szCs w:val="20"/>
      <w:lang w:val="en-GB"/>
    </w:rPr>
  </w:style>
  <w:style w:type="character" w:customStyle="1" w:styleId="Bulletslevel1Char">
    <w:name w:val="Bullets level 1 Char"/>
    <w:basedOn w:val="Standardnpsmoodstavce"/>
    <w:link w:val="Bulletslevel1"/>
    <w:rsid w:val="001C2EF4"/>
    <w:rPr>
      <w:rFonts w:ascii="Arial" w:eastAsia="Times" w:hAnsi="Arial"/>
      <w:color w:val="000000"/>
      <w:sz w:val="19"/>
      <w:lang w:val="en-GB"/>
    </w:rPr>
  </w:style>
  <w:style w:type="paragraph" w:customStyle="1" w:styleId="Bulletslevel2">
    <w:name w:val="Bullets level 2"/>
    <w:basedOn w:val="Normln"/>
    <w:link w:val="Bulletslevel2Char"/>
    <w:qFormat/>
    <w:rsid w:val="00DC6C4A"/>
    <w:pPr>
      <w:numPr>
        <w:numId w:val="18"/>
      </w:numPr>
      <w:tabs>
        <w:tab w:val="left" w:pos="567"/>
      </w:tabs>
      <w:spacing w:before="120"/>
    </w:pPr>
    <w:rPr>
      <w:rFonts w:eastAsia="Times"/>
      <w:color w:val="000000"/>
      <w:szCs w:val="20"/>
      <w:lang w:val="en-GB"/>
    </w:rPr>
  </w:style>
  <w:style w:type="character" w:customStyle="1" w:styleId="Bulletslevel2Char">
    <w:name w:val="Bullets level 2 Char"/>
    <w:basedOn w:val="Bulletslevel1Char"/>
    <w:link w:val="Bulletslevel2"/>
    <w:rsid w:val="00DC6C4A"/>
    <w:rPr>
      <w:rFonts w:ascii="Arial" w:eastAsia="Times" w:hAnsi="Arial"/>
      <w:color w:val="000000"/>
      <w:sz w:val="19"/>
      <w:lang w:val="en-GB"/>
    </w:rPr>
  </w:style>
  <w:style w:type="paragraph" w:customStyle="1" w:styleId="PulloutQuote">
    <w:name w:val="Pullout Quote"/>
    <w:rsid w:val="00095956"/>
    <w:pPr>
      <w:pBdr>
        <w:top w:val="single" w:sz="4" w:space="4" w:color="00A1DE"/>
      </w:pBdr>
      <w:suppressAutoHyphens/>
      <w:spacing w:line="320" w:lineRule="exact"/>
    </w:pPr>
    <w:rPr>
      <w:rFonts w:eastAsia="Times"/>
      <w:color w:val="00A1DE"/>
      <w:sz w:val="32"/>
      <w:lang w:val="en-GB"/>
    </w:rPr>
  </w:style>
  <w:style w:type="paragraph" w:customStyle="1" w:styleId="Highlight1">
    <w:name w:val="Highlight 1"/>
    <w:basedOn w:val="Obsah1"/>
    <w:qFormat/>
    <w:rsid w:val="00D34C27"/>
    <w:pPr>
      <w:tabs>
        <w:tab w:val="left" w:pos="482"/>
        <w:tab w:val="right" w:leader="dot" w:pos="9061"/>
      </w:tabs>
      <w:spacing w:after="0"/>
    </w:pPr>
    <w:rPr>
      <w:b/>
      <w:color w:val="3C8A2E" w:themeColor="accent5"/>
      <w:sz w:val="20"/>
    </w:rPr>
  </w:style>
  <w:style w:type="paragraph" w:customStyle="1" w:styleId="Highlight2">
    <w:name w:val="Highlight 2"/>
    <w:basedOn w:val="Normln"/>
    <w:qFormat/>
    <w:rsid w:val="00D34C27"/>
    <w:rPr>
      <w:b/>
      <w:color w:val="92D400" w:themeColor="accent2"/>
      <w:sz w:val="20"/>
    </w:rPr>
  </w:style>
  <w:style w:type="table" w:customStyle="1" w:styleId="Deloittetable1">
    <w:name w:val="Deloitte table 1"/>
    <w:basedOn w:val="Normlntabulka"/>
    <w:rsid w:val="00A40230"/>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
    <w:next w:val="Normln"/>
    <w:autoRedefine/>
    <w:uiPriority w:val="39"/>
    <w:rsid w:val="00CB0293"/>
    <w:pPr>
      <w:spacing w:after="240"/>
      <w:ind w:left="720"/>
    </w:pPr>
  </w:style>
  <w:style w:type="table" w:customStyle="1" w:styleId="Deloittetable2">
    <w:name w:val="Deloitte table 2"/>
    <w:basedOn w:val="Normlntabulka"/>
    <w:rsid w:val="00A40230"/>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lkasprostorovmiefekty1">
    <w:name w:val="Table 3D effects 1"/>
    <w:basedOn w:val="Normlntabulka"/>
    <w:rsid w:val="00CE00B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tabulka"/>
    <w:rsid w:val="00A40230"/>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tabulka"/>
    <w:rsid w:val="00A40230"/>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tabulka"/>
    <w:rsid w:val="00CE00BE"/>
    <w:rPr>
      <w:rFonts w:ascii="Arial" w:hAnsi="Arial"/>
      <w:sz w:val="19"/>
    </w:rPr>
    <w:tblPr/>
  </w:style>
  <w:style w:type="table" w:customStyle="1" w:styleId="Deloittetable6">
    <w:name w:val="Deloitte table 6"/>
    <w:basedOn w:val="Normlntabulka"/>
    <w:rsid w:val="00A40230"/>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themeColor="background2"/>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tabulka"/>
    <w:rsid w:val="00A40230"/>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lkasprostorovmiefekty3">
    <w:name w:val="Table 3D effects 3"/>
    <w:basedOn w:val="Normlntabulka"/>
    <w:rsid w:val="00CE00B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tabulka"/>
    <w:rsid w:val="006F2C90"/>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tabulka"/>
    <w:rsid w:val="006F2C90"/>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tabul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tabulka"/>
    <w:rsid w:val="006F6C05"/>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tabulka"/>
    <w:rsid w:val="006F6C05"/>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tabulka"/>
    <w:rsid w:val="006F6C05"/>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tabul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loupcetabulky3">
    <w:name w:val="Table Columns 3"/>
    <w:basedOn w:val="Normlntabulka"/>
    <w:rsid w:val="00FE07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Barevnseznamzvraznn4">
    <w:name w:val="Colorful List Accent 4"/>
    <w:basedOn w:val="Normlntabulka"/>
    <w:uiPriority w:val="72"/>
    <w:rsid w:val="00FE07E4"/>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ednmka2zvraznn4">
    <w:name w:val="Medium Grid 2 Accent 4"/>
    <w:basedOn w:val="Normlntabulka"/>
    <w:uiPriority w:val="68"/>
    <w:rsid w:val="00FE07E4"/>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character" w:customStyle="1" w:styleId="Nadpis4Char">
    <w:name w:val="Nadpis 4 Char"/>
    <w:basedOn w:val="Standardnpsmoodstavce"/>
    <w:link w:val="Nadpis4"/>
    <w:rsid w:val="0008794A"/>
    <w:rPr>
      <w:rFonts w:ascii="Arial" w:eastAsiaTheme="majorEastAsia" w:hAnsi="Arial" w:cstheme="majorBidi"/>
      <w:b/>
      <w:bCs/>
      <w:iCs/>
      <w:sz w:val="24"/>
      <w:szCs w:val="24"/>
    </w:rPr>
  </w:style>
  <w:style w:type="character" w:customStyle="1" w:styleId="Nadpis5Char">
    <w:name w:val="Nadpis 5 Char"/>
    <w:basedOn w:val="Standardnpsmoodstavce"/>
    <w:link w:val="Nadpis5"/>
    <w:rsid w:val="0008794A"/>
    <w:rPr>
      <w:rFonts w:ascii="Arial" w:eastAsiaTheme="majorEastAsia" w:hAnsi="Arial" w:cstheme="majorBidi"/>
      <w:b/>
      <w:i/>
      <w:color w:val="00133A" w:themeColor="accent1" w:themeShade="7F"/>
      <w:sz w:val="24"/>
      <w:szCs w:val="24"/>
    </w:rPr>
  </w:style>
  <w:style w:type="character" w:customStyle="1" w:styleId="Nadpis6Char">
    <w:name w:val="Nadpis 6 Char"/>
    <w:basedOn w:val="Standardnpsmoodstavce"/>
    <w:link w:val="Nadpis6"/>
    <w:rsid w:val="0008794A"/>
    <w:rPr>
      <w:rFonts w:ascii="Arial" w:eastAsiaTheme="majorEastAsia" w:hAnsi="Arial" w:cstheme="majorBidi"/>
      <w:i/>
      <w:iCs/>
      <w:color w:val="00133A" w:themeColor="accent1" w:themeShade="7F"/>
      <w:sz w:val="24"/>
      <w:szCs w:val="24"/>
    </w:rPr>
  </w:style>
  <w:style w:type="character" w:customStyle="1" w:styleId="Nadpis7Char">
    <w:name w:val="Nadpis 7 Char"/>
    <w:basedOn w:val="Standardnpsmoodstavce"/>
    <w:link w:val="Nadpis7"/>
    <w:rsid w:val="00E421C0"/>
    <w:rPr>
      <w:rFonts w:ascii="Arial" w:eastAsiaTheme="majorEastAsia" w:hAnsi="Arial" w:cstheme="majorBidi"/>
      <w:i/>
      <w:iCs/>
      <w:color w:val="404040" w:themeColor="text1" w:themeTint="BF"/>
      <w:sz w:val="22"/>
      <w:szCs w:val="24"/>
    </w:rPr>
  </w:style>
  <w:style w:type="character" w:customStyle="1" w:styleId="Nadpis8Char">
    <w:name w:val="Nadpis 8 Char"/>
    <w:basedOn w:val="Standardnpsmoodstavce"/>
    <w:link w:val="Nadpis8"/>
    <w:semiHidden/>
    <w:rsid w:val="00E421C0"/>
    <w:rPr>
      <w:rFonts w:ascii="Arial" w:eastAsiaTheme="majorEastAsia" w:hAnsi="Arial" w:cstheme="majorBidi"/>
      <w:i/>
      <w:color w:val="404040" w:themeColor="text1" w:themeTint="BF"/>
    </w:rPr>
  </w:style>
  <w:style w:type="character" w:customStyle="1" w:styleId="Nadpis9Char">
    <w:name w:val="Nadpis 9 Char"/>
    <w:basedOn w:val="Standardnpsmoodstavce"/>
    <w:link w:val="Nadpis9"/>
    <w:semiHidden/>
    <w:rsid w:val="00E421C0"/>
    <w:rPr>
      <w:rFonts w:ascii="Arial" w:eastAsiaTheme="majorEastAsia" w:hAnsi="Arial" w:cstheme="majorBidi"/>
      <w:i/>
      <w:iCs/>
      <w:color w:val="404040" w:themeColor="text1" w:themeTint="BF"/>
      <w:sz w:val="18"/>
    </w:rPr>
  </w:style>
  <w:style w:type="paragraph" w:styleId="Obsah5">
    <w:name w:val="toc 5"/>
    <w:basedOn w:val="Normln"/>
    <w:next w:val="Normln"/>
    <w:autoRedefine/>
    <w:uiPriority w:val="39"/>
    <w:rsid w:val="00210E5E"/>
    <w:pPr>
      <w:spacing w:after="100"/>
      <w:ind w:left="960"/>
    </w:pPr>
  </w:style>
  <w:style w:type="character" w:styleId="Znakapoznpodarou">
    <w:name w:val="footnote reference"/>
    <w:basedOn w:val="Standardnpsmoodstavce"/>
    <w:rsid w:val="00E421C0"/>
    <w:rPr>
      <w:rFonts w:ascii="Arial" w:hAnsi="Arial"/>
      <w:sz w:val="16"/>
      <w:vertAlign w:val="superscript"/>
    </w:rPr>
  </w:style>
  <w:style w:type="paragraph" w:styleId="Textpoznpodarou">
    <w:name w:val="footnote text"/>
    <w:basedOn w:val="Normln"/>
    <w:link w:val="TextpoznpodarouChar"/>
    <w:rsid w:val="00E421C0"/>
    <w:rPr>
      <w:sz w:val="16"/>
      <w:szCs w:val="20"/>
    </w:rPr>
  </w:style>
  <w:style w:type="character" w:customStyle="1" w:styleId="TextpoznpodarouChar">
    <w:name w:val="Text pozn. pod čarou Char"/>
    <w:basedOn w:val="Standardnpsmoodstavce"/>
    <w:link w:val="Textpoznpodarou"/>
    <w:rsid w:val="00E421C0"/>
    <w:rPr>
      <w:rFonts w:ascii="Arial" w:hAnsi="Arial"/>
      <w:sz w:val="16"/>
    </w:rPr>
  </w:style>
  <w:style w:type="paragraph" w:customStyle="1" w:styleId="Highlight3">
    <w:name w:val="Highlight 3"/>
    <w:basedOn w:val="Highlight2"/>
    <w:qFormat/>
    <w:rsid w:val="00D34C27"/>
    <w:rPr>
      <w:color w:val="00A1DE" w:themeColor="accent3"/>
    </w:rPr>
  </w:style>
  <w:style w:type="paragraph" w:customStyle="1" w:styleId="Maintext">
    <w:name w:val="Main text"/>
    <w:basedOn w:val="Normln"/>
    <w:link w:val="MaintextChar"/>
    <w:rsid w:val="00D93597"/>
    <w:pPr>
      <w:widowControl w:val="0"/>
      <w:suppressAutoHyphens/>
      <w:autoSpaceDE w:val="0"/>
      <w:autoSpaceDN w:val="0"/>
      <w:adjustRightInd w:val="0"/>
      <w:textAlignment w:val="center"/>
    </w:pPr>
    <w:rPr>
      <w:color w:val="000000"/>
      <w:szCs w:val="20"/>
      <w:lang w:val="en-GB" w:eastAsia="en-GB"/>
    </w:rPr>
  </w:style>
  <w:style w:type="character" w:customStyle="1" w:styleId="MaintextChar">
    <w:name w:val="Main text Char"/>
    <w:basedOn w:val="Standardnpsmoodstavce"/>
    <w:link w:val="Maintext"/>
    <w:rsid w:val="00D93597"/>
    <w:rPr>
      <w:rFonts w:ascii="Arial" w:hAnsi="Arial"/>
      <w:color w:val="000000"/>
      <w:sz w:val="19"/>
      <w:lang w:val="en-GB" w:eastAsia="en-GB"/>
    </w:rPr>
  </w:style>
  <w:style w:type="paragraph" w:customStyle="1" w:styleId="Text">
    <w:name w:val="Text"/>
    <w:link w:val="TextChar"/>
    <w:rsid w:val="00D93597"/>
    <w:pPr>
      <w:spacing w:before="120"/>
      <w:jc w:val="both"/>
    </w:pPr>
    <w:rPr>
      <w:noProof/>
      <w:sz w:val="22"/>
    </w:rPr>
  </w:style>
  <w:style w:type="character" w:customStyle="1" w:styleId="TextChar">
    <w:name w:val="Text Char"/>
    <w:basedOn w:val="Standardnpsmoodstavce"/>
    <w:link w:val="Text"/>
    <w:rsid w:val="00D93597"/>
    <w:rPr>
      <w:noProof/>
      <w:sz w:val="22"/>
    </w:rPr>
  </w:style>
  <w:style w:type="character" w:customStyle="1" w:styleId="Nadpis1Char">
    <w:name w:val="Nadpis 1 Char"/>
    <w:basedOn w:val="Standardnpsmoodstavce"/>
    <w:link w:val="Nadpis1"/>
    <w:rsid w:val="0002262B"/>
    <w:rPr>
      <w:rFonts w:ascii="Times New Roman Bold" w:hAnsi="Times New Roman Bold" w:cs="Arial"/>
      <w:bCs/>
      <w:color w:val="002776"/>
      <w:kern w:val="32"/>
      <w:sz w:val="40"/>
      <w:szCs w:val="32"/>
    </w:rPr>
  </w:style>
  <w:style w:type="character" w:styleId="Siln">
    <w:name w:val="Strong"/>
    <w:basedOn w:val="Standardnpsmoodstavce"/>
    <w:qFormat/>
    <w:rsid w:val="00D93597"/>
    <w:rPr>
      <w:b/>
      <w:bCs/>
    </w:rPr>
  </w:style>
  <w:style w:type="paragraph" w:customStyle="1" w:styleId="Deloitteintroparagraph">
    <w:name w:val="Deloitte intro paragraph"/>
    <w:qFormat/>
    <w:rsid w:val="00C82F17"/>
    <w:pPr>
      <w:spacing w:before="120" w:after="120"/>
    </w:pPr>
    <w:rPr>
      <w:rFonts w:ascii="Arial" w:hAnsi="Arial"/>
      <w:b/>
      <w:color w:val="00A1DE"/>
      <w:sz w:val="24"/>
      <w:szCs w:val="22"/>
      <w:lang w:val="cs-CZ"/>
    </w:rPr>
  </w:style>
  <w:style w:type="paragraph" w:customStyle="1" w:styleId="Style10ptDarkBlueBefore5ptAfter5pt">
    <w:name w:val="Style 10 pt Dark Blue Before:  5 pt After:  5 pt"/>
    <w:basedOn w:val="Normln"/>
    <w:rsid w:val="00877F77"/>
    <w:rPr>
      <w:rFonts w:ascii="Times New Roman" w:hAnsi="Times New Roman"/>
      <w:color w:val="000080"/>
      <w:sz w:val="20"/>
      <w:szCs w:val="20"/>
    </w:rPr>
  </w:style>
  <w:style w:type="paragraph" w:styleId="Nzev">
    <w:name w:val="Title"/>
    <w:basedOn w:val="Normln"/>
    <w:link w:val="NzevChar"/>
    <w:qFormat/>
    <w:rsid w:val="009C71F4"/>
    <w:pPr>
      <w:jc w:val="center"/>
    </w:pPr>
    <w:rPr>
      <w:b/>
      <w:bCs/>
      <w:sz w:val="32"/>
      <w:lang w:val="en-CA" w:eastAsia="x-none"/>
    </w:rPr>
  </w:style>
  <w:style w:type="character" w:customStyle="1" w:styleId="NzevChar">
    <w:name w:val="Název Char"/>
    <w:basedOn w:val="Standardnpsmoodstavce"/>
    <w:link w:val="Nzev"/>
    <w:rsid w:val="009C71F4"/>
    <w:rPr>
      <w:rFonts w:ascii="Arial" w:hAnsi="Arial"/>
      <w:b/>
      <w:bCs/>
      <w:sz w:val="32"/>
      <w:szCs w:val="24"/>
      <w:lang w:val="en-CA" w:eastAsia="x-none"/>
    </w:rPr>
  </w:style>
  <w:style w:type="character" w:styleId="Odkaznakoment">
    <w:name w:val="annotation reference"/>
    <w:basedOn w:val="Standardnpsmoodstavce"/>
    <w:semiHidden/>
    <w:unhideWhenUsed/>
    <w:rsid w:val="009A3540"/>
    <w:rPr>
      <w:sz w:val="16"/>
      <w:szCs w:val="16"/>
    </w:rPr>
  </w:style>
  <w:style w:type="paragraph" w:styleId="Textkomente">
    <w:name w:val="annotation text"/>
    <w:basedOn w:val="Normln"/>
    <w:link w:val="TextkomenteChar"/>
    <w:semiHidden/>
    <w:unhideWhenUsed/>
    <w:rsid w:val="009A3540"/>
    <w:rPr>
      <w:sz w:val="20"/>
      <w:szCs w:val="20"/>
    </w:rPr>
  </w:style>
  <w:style w:type="character" w:customStyle="1" w:styleId="TextkomenteChar">
    <w:name w:val="Text komentáře Char"/>
    <w:basedOn w:val="Standardnpsmoodstavce"/>
    <w:link w:val="Textkomente"/>
    <w:semiHidden/>
    <w:rsid w:val="009A3540"/>
    <w:rPr>
      <w:rFonts w:ascii="Arial" w:hAnsi="Arial"/>
    </w:rPr>
  </w:style>
  <w:style w:type="paragraph" w:styleId="Pedmtkomente">
    <w:name w:val="annotation subject"/>
    <w:basedOn w:val="Textkomente"/>
    <w:next w:val="Textkomente"/>
    <w:link w:val="PedmtkomenteChar"/>
    <w:semiHidden/>
    <w:unhideWhenUsed/>
    <w:rsid w:val="009A3540"/>
    <w:rPr>
      <w:b/>
      <w:bCs/>
    </w:rPr>
  </w:style>
  <w:style w:type="character" w:customStyle="1" w:styleId="PedmtkomenteChar">
    <w:name w:val="Předmět komentáře Char"/>
    <w:basedOn w:val="TextkomenteChar"/>
    <w:link w:val="Pedmtkomente"/>
    <w:semiHidden/>
    <w:rsid w:val="009A3540"/>
    <w:rPr>
      <w:rFonts w:ascii="Arial" w:hAnsi="Arial"/>
      <w:b/>
      <w:bCs/>
    </w:rPr>
  </w:style>
  <w:style w:type="table" w:customStyle="1" w:styleId="LightList-Accent61">
    <w:name w:val="Light List - Accent 61"/>
    <w:basedOn w:val="Normlntabulka"/>
    <w:next w:val="Svtlseznamzvraznn6"/>
    <w:uiPriority w:val="61"/>
    <w:rsid w:val="00597B72"/>
    <w:rPr>
      <w:rFonts w:ascii="Arial" w:eastAsia="Arial" w:hAnsi="Arial"/>
      <w:sz w:val="22"/>
      <w:szCs w:val="22"/>
      <w:lang w:val="en-GB"/>
    </w:rPr>
    <w:tblPr>
      <w:tblStyleRowBandSize w:val="1"/>
      <w:tblStyleColBandSize w:val="1"/>
      <w:tblBorders>
        <w:top w:val="single" w:sz="8" w:space="0" w:color="72C7E7"/>
        <w:left w:val="single" w:sz="8" w:space="0" w:color="72C7E7"/>
        <w:bottom w:val="single" w:sz="8" w:space="0" w:color="72C7E7"/>
        <w:right w:val="single" w:sz="8" w:space="0" w:color="72C7E7"/>
      </w:tblBorders>
    </w:tblPr>
    <w:tblStylePr w:type="firstRow">
      <w:pPr>
        <w:spacing w:before="0" w:after="0" w:line="240" w:lineRule="auto"/>
      </w:pPr>
      <w:rPr>
        <w:b/>
        <w:bCs/>
        <w:color w:val="FFFFFF"/>
      </w:rPr>
      <w:tblPr/>
      <w:tcPr>
        <w:shd w:val="clear" w:color="auto" w:fill="72C7E7"/>
      </w:tcPr>
    </w:tblStylePr>
    <w:tblStylePr w:type="lastRow">
      <w:pPr>
        <w:spacing w:before="0" w:after="0" w:line="240" w:lineRule="auto"/>
      </w:pPr>
      <w:rPr>
        <w:b/>
        <w:bCs/>
      </w:rPr>
      <w:tblPr/>
      <w:tcPr>
        <w:tcBorders>
          <w:top w:val="double" w:sz="6" w:space="0" w:color="72C7E7"/>
          <w:left w:val="single" w:sz="8" w:space="0" w:color="72C7E7"/>
          <w:bottom w:val="single" w:sz="8" w:space="0" w:color="72C7E7"/>
          <w:right w:val="single" w:sz="8" w:space="0" w:color="72C7E7"/>
        </w:tcBorders>
      </w:tcPr>
    </w:tblStylePr>
    <w:tblStylePr w:type="firstCol">
      <w:rPr>
        <w:b/>
        <w:bCs/>
      </w:rPr>
    </w:tblStylePr>
    <w:tblStylePr w:type="lastCol">
      <w:rPr>
        <w:b/>
        <w:bCs/>
      </w:rPr>
    </w:tblStylePr>
    <w:tblStylePr w:type="band1Vert">
      <w:tblPr/>
      <w:tcPr>
        <w:tcBorders>
          <w:top w:val="single" w:sz="8" w:space="0" w:color="72C7E7"/>
          <w:left w:val="single" w:sz="8" w:space="0" w:color="72C7E7"/>
          <w:bottom w:val="single" w:sz="8" w:space="0" w:color="72C7E7"/>
          <w:right w:val="single" w:sz="8" w:space="0" w:color="72C7E7"/>
        </w:tcBorders>
      </w:tcPr>
    </w:tblStylePr>
    <w:tblStylePr w:type="band1Horz">
      <w:tblPr/>
      <w:tcPr>
        <w:tcBorders>
          <w:top w:val="single" w:sz="8" w:space="0" w:color="72C7E7"/>
          <w:left w:val="single" w:sz="8" w:space="0" w:color="72C7E7"/>
          <w:bottom w:val="single" w:sz="8" w:space="0" w:color="72C7E7"/>
          <w:right w:val="single" w:sz="8" w:space="0" w:color="72C7E7"/>
        </w:tcBorders>
      </w:tcPr>
    </w:tblStylePr>
  </w:style>
  <w:style w:type="table" w:styleId="Svtlseznamzvraznn6">
    <w:name w:val="Light List Accent 6"/>
    <w:basedOn w:val="Normlntabulka"/>
    <w:uiPriority w:val="61"/>
    <w:rsid w:val="00597B72"/>
    <w:tblPr>
      <w:tblStyleRowBandSize w:val="1"/>
      <w:tblStyleColBandSize w:val="1"/>
      <w:tblBorders>
        <w:top w:val="single" w:sz="8" w:space="0" w:color="C9DD03" w:themeColor="accent6"/>
        <w:left w:val="single" w:sz="8" w:space="0" w:color="C9DD03" w:themeColor="accent6"/>
        <w:bottom w:val="single" w:sz="8" w:space="0" w:color="C9DD03" w:themeColor="accent6"/>
        <w:right w:val="single" w:sz="8" w:space="0" w:color="C9DD03" w:themeColor="accent6"/>
      </w:tblBorders>
    </w:tblPr>
    <w:tblStylePr w:type="firstRow">
      <w:pPr>
        <w:spacing w:before="0" w:after="0" w:line="240" w:lineRule="auto"/>
      </w:pPr>
      <w:rPr>
        <w:b/>
        <w:bCs/>
        <w:color w:val="FFFFFF" w:themeColor="background1"/>
      </w:rPr>
      <w:tblPr/>
      <w:tcPr>
        <w:shd w:val="clear" w:color="auto" w:fill="C9DD03" w:themeFill="accent6"/>
      </w:tcPr>
    </w:tblStylePr>
    <w:tblStylePr w:type="lastRow">
      <w:pPr>
        <w:spacing w:before="0" w:after="0" w:line="240" w:lineRule="auto"/>
      </w:pPr>
      <w:rPr>
        <w:b/>
        <w:bCs/>
      </w:rPr>
      <w:tblPr/>
      <w:tcPr>
        <w:tcBorders>
          <w:top w:val="double" w:sz="6" w:space="0" w:color="C9DD03" w:themeColor="accent6"/>
          <w:left w:val="single" w:sz="8" w:space="0" w:color="C9DD03" w:themeColor="accent6"/>
          <w:bottom w:val="single" w:sz="8" w:space="0" w:color="C9DD03" w:themeColor="accent6"/>
          <w:right w:val="single" w:sz="8" w:space="0" w:color="C9DD03" w:themeColor="accent6"/>
        </w:tcBorders>
      </w:tcPr>
    </w:tblStylePr>
    <w:tblStylePr w:type="firstCol">
      <w:rPr>
        <w:b/>
        <w:bCs/>
      </w:rPr>
    </w:tblStylePr>
    <w:tblStylePr w:type="lastCol">
      <w:rPr>
        <w:b/>
        <w:bCs/>
      </w:rPr>
    </w:tblStylePr>
    <w:tblStylePr w:type="band1Vert">
      <w:tblPr/>
      <w:tcPr>
        <w:tcBorders>
          <w:top w:val="single" w:sz="8" w:space="0" w:color="C9DD03" w:themeColor="accent6"/>
          <w:left w:val="single" w:sz="8" w:space="0" w:color="C9DD03" w:themeColor="accent6"/>
          <w:bottom w:val="single" w:sz="8" w:space="0" w:color="C9DD03" w:themeColor="accent6"/>
          <w:right w:val="single" w:sz="8" w:space="0" w:color="C9DD03" w:themeColor="accent6"/>
        </w:tcBorders>
      </w:tcPr>
    </w:tblStylePr>
    <w:tblStylePr w:type="band1Horz">
      <w:tblPr/>
      <w:tcPr>
        <w:tcBorders>
          <w:top w:val="single" w:sz="8" w:space="0" w:color="C9DD03" w:themeColor="accent6"/>
          <w:left w:val="single" w:sz="8" w:space="0" w:color="C9DD03" w:themeColor="accent6"/>
          <w:bottom w:val="single" w:sz="8" w:space="0" w:color="C9DD03" w:themeColor="accent6"/>
          <w:right w:val="single" w:sz="8" w:space="0" w:color="C9DD03" w:themeColor="accent6"/>
        </w:tcBorders>
      </w:tcPr>
    </w:tblStylePr>
  </w:style>
  <w:style w:type="paragraph" w:styleId="Prosttext">
    <w:name w:val="Plain Text"/>
    <w:basedOn w:val="Normln"/>
    <w:link w:val="ProsttextChar"/>
    <w:uiPriority w:val="99"/>
    <w:semiHidden/>
    <w:unhideWhenUsed/>
    <w:rsid w:val="00320DC1"/>
    <w:rPr>
      <w:rFonts w:ascii="Calibri" w:eastAsiaTheme="minorHAnsi" w:hAnsi="Calibri" w:cs="Consolas"/>
      <w:sz w:val="22"/>
      <w:szCs w:val="21"/>
      <w:lang w:val="cs-CZ"/>
    </w:rPr>
  </w:style>
  <w:style w:type="character" w:customStyle="1" w:styleId="ProsttextChar">
    <w:name w:val="Prostý text Char"/>
    <w:basedOn w:val="Standardnpsmoodstavce"/>
    <w:link w:val="Prosttext"/>
    <w:uiPriority w:val="99"/>
    <w:semiHidden/>
    <w:rsid w:val="00320DC1"/>
    <w:rPr>
      <w:rFonts w:ascii="Calibri" w:eastAsiaTheme="minorHAnsi" w:hAnsi="Calibri" w:cs="Consolas"/>
      <w:sz w:val="22"/>
      <w:szCs w:val="21"/>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159273">
      <w:bodyDiv w:val="1"/>
      <w:marLeft w:val="0"/>
      <w:marRight w:val="0"/>
      <w:marTop w:val="0"/>
      <w:marBottom w:val="0"/>
      <w:divBdr>
        <w:top w:val="none" w:sz="0" w:space="0" w:color="auto"/>
        <w:left w:val="none" w:sz="0" w:space="0" w:color="auto"/>
        <w:bottom w:val="none" w:sz="0" w:space="0" w:color="auto"/>
        <w:right w:val="none" w:sz="0" w:space="0" w:color="auto"/>
      </w:divBdr>
    </w:div>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1322779764">
      <w:bodyDiv w:val="1"/>
      <w:marLeft w:val="0"/>
      <w:marRight w:val="0"/>
      <w:marTop w:val="0"/>
      <w:marBottom w:val="0"/>
      <w:divBdr>
        <w:top w:val="none" w:sz="0" w:space="0" w:color="auto"/>
        <w:left w:val="none" w:sz="0" w:space="0" w:color="auto"/>
        <w:bottom w:val="none" w:sz="0" w:space="0" w:color="auto"/>
        <w:right w:val="none" w:sz="0" w:space="0" w:color="auto"/>
      </w:divBdr>
    </w:div>
    <w:div w:id="1796021186">
      <w:bodyDiv w:val="1"/>
      <w:marLeft w:val="0"/>
      <w:marRight w:val="0"/>
      <w:marTop w:val="0"/>
      <w:marBottom w:val="0"/>
      <w:divBdr>
        <w:top w:val="none" w:sz="0" w:space="0" w:color="auto"/>
        <w:left w:val="none" w:sz="0" w:space="0" w:color="auto"/>
        <w:bottom w:val="none" w:sz="0" w:space="0" w:color="auto"/>
        <w:right w:val="none" w:sz="0" w:space="0" w:color="auto"/>
      </w:divBdr>
    </w:div>
    <w:div w:id="1887637671">
      <w:bodyDiv w:val="1"/>
      <w:marLeft w:val="0"/>
      <w:marRight w:val="0"/>
      <w:marTop w:val="0"/>
      <w:marBottom w:val="0"/>
      <w:divBdr>
        <w:top w:val="none" w:sz="0" w:space="0" w:color="auto"/>
        <w:left w:val="none" w:sz="0" w:space="0" w:color="auto"/>
        <w:bottom w:val="none" w:sz="0" w:space="0" w:color="auto"/>
        <w:right w:val="none" w:sz="0" w:space="0" w:color="auto"/>
      </w:divBdr>
    </w:div>
    <w:div w:id="214415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onroku.cz"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zakonroku.cz/Data/o-anket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zakonroku.cz" TargetMode="External"/><Relationship Id="rId14" Type="http://schemas.openxmlformats.org/officeDocument/2006/relationships/hyperlink" Target="mailto:lkropik@deloittec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Custom 1">
      <a:dk1>
        <a:sysClr val="windowText" lastClr="000000"/>
      </a:dk1>
      <a:lt1>
        <a:srgbClr val="FFFFFF"/>
      </a:lt1>
      <a:dk2>
        <a:srgbClr val="002776"/>
      </a:dk2>
      <a:lt2>
        <a:srgbClr val="FFFFFF"/>
      </a:lt2>
      <a:accent1>
        <a:srgbClr val="002776"/>
      </a:accent1>
      <a:accent2>
        <a:srgbClr val="92D400"/>
      </a:accent2>
      <a:accent3>
        <a:srgbClr val="00A1DE"/>
      </a:accent3>
      <a:accent4>
        <a:srgbClr val="72C7E7"/>
      </a:accent4>
      <a:accent5>
        <a:srgbClr val="3C8A2E"/>
      </a:accent5>
      <a:accent6>
        <a:srgbClr val="C9DD03"/>
      </a:accent6>
      <a:hlink>
        <a:srgbClr val="3C8A2E"/>
      </a:hlink>
      <a:folHlink>
        <a:srgbClr val="C9DD03"/>
      </a:folHlink>
    </a:clrScheme>
    <a:fontScheme name="Custom 1">
      <a:majorFont>
        <a:latin typeface="Arial"/>
        <a:ea typeface=""/>
        <a:cs typeface=""/>
      </a:majorFont>
      <a:minorFont>
        <a:latin typeface="Arial"/>
        <a:ea typeface=""/>
        <a:cs typeface=""/>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D93AA-DB9A-4F4F-AC5C-F1CBBB88D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1728</Words>
  <Characters>10202</Characters>
  <Application>Microsoft Office Word</Application>
  <DocSecurity>4</DocSecurity>
  <Lines>85</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11907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Brejchova, Michaela (CZ - Prague)</dc:creator>
  <cp:lastModifiedBy>David Kotora</cp:lastModifiedBy>
  <cp:revision>2</cp:revision>
  <cp:lastPrinted>2006-02-10T13:19:00Z</cp:lastPrinted>
  <dcterms:created xsi:type="dcterms:W3CDTF">2016-06-09T12:01:00Z</dcterms:created>
  <dcterms:modified xsi:type="dcterms:W3CDTF">2016-06-09T12:01:00Z</dcterms:modified>
</cp:coreProperties>
</file>